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snapToGrid w:val="false"/>
        <w:spacing w:before="0" w:after="180"/>
        <w:rPr>
          <w:rFonts w:ascii="Times New Roman" w:hAnsi="Times New Roman" w:eastAsia="標楷體"/>
          <w:b/>
          <w:b/>
          <w:color w:val="000000"/>
          <w:szCs w:val="28"/>
        </w:rPr>
      </w:pPr>
      <w:r>
        <w:rPr>
          <w:rFonts w:ascii="Times New Roman" w:hAnsi="Times New Roman" w:eastAsia="標楷體"/>
          <w:b/>
          <w:color w:val="000000"/>
          <w:szCs w:val="28"/>
        </w:rPr>
        <w:t>臺北市教師研習中心</w:t>
      </w:r>
    </w:p>
    <w:p>
      <w:pPr>
        <w:pStyle w:val="Style21"/>
        <w:snapToGrid w:val="false"/>
        <w:spacing w:before="0" w:after="180"/>
        <w:ind w:firstLine="157"/>
        <w:rPr/>
      </w:pPr>
      <w:r>
        <w:rPr>
          <w:rStyle w:val="Style14"/>
          <w:rFonts w:eastAsia="標楷體"/>
          <w:b/>
        </w:rPr>
        <w:t>防疫大作戰</w:t>
      </w:r>
      <w:r>
        <w:rPr>
          <w:rStyle w:val="Style14"/>
          <w:rFonts w:eastAsia="標楷體"/>
          <w:b/>
        </w:rPr>
        <w:t>-</w:t>
      </w:r>
      <w:r>
        <w:rPr>
          <w:rStyle w:val="Style14"/>
          <w:rFonts w:eastAsia="標楷體"/>
          <w:b/>
        </w:rPr>
        <w:t>感應式酒精消毒器製作研習班</w:t>
      </w:r>
    </w:p>
    <w:p>
      <w:pPr>
        <w:pStyle w:val="Style21"/>
        <w:snapToGrid w:val="false"/>
        <w:spacing w:before="0" w:after="180"/>
        <w:ind w:firstLine="157"/>
        <w:rPr>
          <w:rFonts w:ascii="Times New Roman" w:hAnsi="Times New Roman" w:eastAsia="標楷體"/>
          <w:b/>
          <w:b/>
          <w:color w:val="000000"/>
          <w:szCs w:val="28"/>
        </w:rPr>
      </w:pPr>
      <w:r>
        <w:rPr>
          <w:rFonts w:ascii="Times New Roman" w:hAnsi="Times New Roman" w:eastAsia="標楷體"/>
          <w:b/>
          <w:color w:val="000000"/>
          <w:szCs w:val="28"/>
        </w:rPr>
        <w:t>實施計畫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研習依據：</w:t>
      </w:r>
      <w:r>
        <w:rPr>
          <w:rStyle w:val="Style14"/>
          <w:rFonts w:eastAsia="標楷體"/>
          <w:color w:val="000000"/>
        </w:rPr>
        <w:t>依據</w:t>
      </w:r>
      <w:r>
        <w:rPr>
          <w:rStyle w:val="Style14"/>
          <w:rFonts w:eastAsia="標楷體"/>
        </w:rPr>
        <w:t>本中心</w:t>
      </w:r>
      <w:r>
        <w:rPr>
          <w:rStyle w:val="Style14"/>
          <w:rFonts w:eastAsia="標楷體"/>
        </w:rPr>
        <w:t>109</w:t>
      </w:r>
      <w:r>
        <w:rPr>
          <w:rStyle w:val="Style14"/>
          <w:rFonts w:eastAsia="標楷體"/>
        </w:rPr>
        <w:t>年度行事曆辦理。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/>
          <w:color w:val="000000"/>
        </w:rPr>
        <w:t>研習目標：</w:t>
      </w:r>
      <w:r>
        <w:rPr>
          <w:rStyle w:val="Style14"/>
          <w:rFonts w:eastAsia="標楷體"/>
        </w:rPr>
        <w:t>配合</w:t>
      </w:r>
      <w:r>
        <w:rPr>
          <w:rStyle w:val="Style14"/>
          <w:rFonts w:eastAsia="標楷體"/>
        </w:rPr>
        <w:t>108</w:t>
      </w:r>
      <w:r>
        <w:rPr>
          <w:rStyle w:val="Style14"/>
          <w:rFonts w:eastAsia="標楷體"/>
        </w:rPr>
        <w:t>課綱之推動，推動本市中小學資訊科技課程發展，以培養本市中小學程式設計教育的師資，並多元化教師教學。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辦理單位：</w:t>
      </w:r>
      <w:r>
        <w:rPr>
          <w:rStyle w:val="Style14"/>
          <w:rFonts w:eastAsia="標楷體"/>
          <w:color w:val="000000"/>
        </w:rPr>
        <w:t>臺北市教師研習中心。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研習對象：</w:t>
      </w:r>
      <w:r>
        <w:rPr>
          <w:rStyle w:val="Style14"/>
          <w:rFonts w:eastAsia="標楷體"/>
          <w:color w:val="000000"/>
        </w:rPr>
        <w:t>臺北市公私立中小學教師，</w:t>
      </w:r>
      <w:r>
        <w:rPr>
          <w:rStyle w:val="Style14"/>
          <w:rFonts w:eastAsia="標楷體"/>
          <w:bCs/>
          <w:color w:val="000000"/>
        </w:rPr>
        <w:t>鼓勵初任教師參加</w:t>
      </w:r>
      <w:r>
        <w:rPr>
          <w:rStyle w:val="Style14"/>
          <w:rFonts w:eastAsia="標楷體"/>
          <w:color w:val="000000"/>
        </w:rPr>
        <w:t>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研習人數：</w:t>
      </w:r>
      <w:r>
        <w:rPr>
          <w:rStyle w:val="Style14"/>
          <w:rFonts w:eastAsia="標楷體"/>
          <w:color w:val="000000"/>
        </w:rPr>
        <w:t>20</w:t>
      </w:r>
      <w:r>
        <w:rPr>
          <w:rStyle w:val="Style14"/>
          <w:rFonts w:eastAsia="標楷體"/>
          <w:color w:val="000000"/>
        </w:rPr>
        <w:t>人。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</w:rPr>
        <w:t>研習日期：</w:t>
      </w:r>
      <w:r>
        <w:rPr>
          <w:rStyle w:val="Style14"/>
          <w:rFonts w:eastAsia="標楷體"/>
        </w:rPr>
        <w:t>109</w:t>
      </w:r>
      <w:r>
        <w:rPr>
          <w:rStyle w:val="Style14"/>
          <w:rFonts w:eastAsia="標楷體"/>
        </w:rPr>
        <w:t>年</w:t>
      </w:r>
      <w:r>
        <w:rPr>
          <w:rStyle w:val="Style14"/>
          <w:rFonts w:eastAsia="標楷體"/>
        </w:rPr>
        <w:t>6</w:t>
      </w:r>
      <w:r>
        <w:rPr>
          <w:rStyle w:val="Style14"/>
          <w:rFonts w:eastAsia="標楷體"/>
        </w:rPr>
        <w:t>月</w:t>
      </w:r>
      <w:r>
        <w:rPr>
          <w:rStyle w:val="Style14"/>
          <w:rFonts w:eastAsia="標楷體"/>
        </w:rPr>
        <w:t>18</w:t>
      </w:r>
      <w:r>
        <w:rPr>
          <w:rStyle w:val="Style14"/>
          <w:rFonts w:eastAsia="標楷體"/>
        </w:rPr>
        <w:t>日（星期四）。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</w:rPr>
        <w:t>報名時間：</w:t>
      </w:r>
      <w:r>
        <w:rPr>
          <w:rStyle w:val="Style14"/>
          <w:rFonts w:eastAsia="標楷體"/>
          <w:bCs/>
        </w:rPr>
        <w:t>即日起至</w:t>
      </w:r>
      <w:r>
        <w:rPr>
          <w:rStyle w:val="Style14"/>
          <w:rFonts w:eastAsia="標楷體"/>
          <w:bCs/>
        </w:rPr>
        <w:t>6</w:t>
      </w:r>
      <w:r>
        <w:rPr>
          <w:rStyle w:val="Style14"/>
          <w:rFonts w:eastAsia="標楷體"/>
          <w:bCs/>
        </w:rPr>
        <w:t>月</w:t>
      </w:r>
      <w:r>
        <w:rPr>
          <w:rStyle w:val="Style14"/>
          <w:rFonts w:eastAsia="標楷體"/>
          <w:bCs/>
        </w:rPr>
        <w:t>7</w:t>
      </w:r>
      <w:r>
        <w:rPr>
          <w:rStyle w:val="Style14"/>
          <w:rFonts w:eastAsia="標楷體"/>
          <w:bCs/>
        </w:rPr>
        <w:t>日（星期日）截止。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/>
          <w:color w:val="000000"/>
        </w:rPr>
        <w:t>研習地點：</w:t>
      </w:r>
      <w:r>
        <w:rPr>
          <w:rStyle w:val="Style14"/>
          <w:rFonts w:eastAsia="標楷體"/>
          <w:color w:val="000000"/>
        </w:rPr>
        <w:t>臺北市龍山國中左棟四樓龍山科技中心木工教室（</w:t>
      </w:r>
      <w:r>
        <w:rPr>
          <w:rStyle w:val="Style14"/>
          <w:rFonts w:eastAsia="標楷體"/>
          <w:color w:val="000000"/>
        </w:rPr>
        <w:t>108</w:t>
      </w:r>
      <w:r>
        <w:rPr>
          <w:rStyle w:val="Style14"/>
          <w:rFonts w:eastAsia="標楷體"/>
          <w:color w:val="000000"/>
        </w:rPr>
        <w:t>台北市萬華區南寧路</w:t>
      </w:r>
      <w:r>
        <w:rPr>
          <w:rStyle w:val="Style14"/>
          <w:rFonts w:eastAsia="標楷體"/>
          <w:color w:val="000000"/>
        </w:rPr>
        <w:t>46</w:t>
      </w:r>
      <w:r>
        <w:rPr>
          <w:rStyle w:val="Style14"/>
          <w:rFonts w:eastAsia="標楷體"/>
          <w:color w:val="000000"/>
        </w:rPr>
        <w:t>號），</w:t>
      </w:r>
      <w:r>
        <w:rPr>
          <w:rStyle w:val="Style14"/>
          <w:rFonts w:eastAsia="標楷體"/>
          <w:b/>
          <w:color w:val="000000"/>
          <w:u w:val="single"/>
        </w:rPr>
        <w:t>現場不提供車位，請搭乘大眾運輸工具前往。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>
          <w:rFonts w:eastAsia="標楷體"/>
          <w:b/>
          <w:b/>
          <w:color w:val="000000"/>
        </w:rPr>
      </w:pPr>
      <w:r>
        <w:rPr>
          <w:rFonts w:eastAsia="標楷體"/>
          <w:b/>
          <w:color w:val="000000"/>
        </w:rPr>
        <w:t>研習課程：（課程若有更動以網路公布為準）</w:t>
      </w:r>
    </w:p>
    <w:p>
      <w:pPr>
        <w:pStyle w:val="Style24"/>
        <w:snapToGrid w:val="false"/>
        <w:spacing w:lineRule="atLeast" w:line="360"/>
        <w:ind w:left="360" w:hanging="0"/>
        <w:jc w:val="both"/>
        <w:rPr>
          <w:rFonts w:eastAsia="標楷體"/>
          <w:b/>
          <w:b/>
        </w:rPr>
      </w:pPr>
      <w:r>
        <w:rPr>
          <w:rFonts w:eastAsia="標楷體"/>
          <w:b/>
        </w:rPr>
      </w:r>
    </w:p>
    <w:tbl>
      <w:tblPr>
        <w:tblW w:w="87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36"/>
        <w:gridCol w:w="1469"/>
        <w:gridCol w:w="709"/>
        <w:gridCol w:w="3397"/>
        <w:gridCol w:w="2236"/>
      </w:tblGrid>
      <w:tr>
        <w:trPr>
          <w:trHeight w:val="26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日 期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時  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節數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課  程  內  容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講  座</w:t>
            </w:r>
          </w:p>
        </w:tc>
      </w:tr>
      <w:tr>
        <w:trPr>
          <w:trHeight w:val="1205" w:hRule="atLeast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6/18</w:t>
            </w:r>
          </w:p>
          <w:p>
            <w:pPr>
              <w:pStyle w:val="Style20"/>
              <w:spacing w:lineRule="exact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（四）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9:00~12:00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0"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4"/>
              <w:numPr>
                <w:ilvl w:val="0"/>
                <w:numId w:val="2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Arduino IDE+ESP8266Module</w:t>
            </w:r>
            <w:r>
              <w:rPr>
                <w:rFonts w:eastAsia="標楷體"/>
              </w:rPr>
              <w:t>環境設置</w:t>
            </w:r>
          </w:p>
          <w:p>
            <w:pPr>
              <w:pStyle w:val="Style24"/>
              <w:numPr>
                <w:ilvl w:val="0"/>
                <w:numId w:val="2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認識</w:t>
            </w:r>
            <w:r>
              <w:rPr>
                <w:rFonts w:eastAsia="標楷體"/>
              </w:rPr>
              <w:t>ESP8266 D1</w:t>
            </w:r>
            <w:r>
              <w:rPr>
                <w:rFonts w:eastAsia="標楷體"/>
              </w:rPr>
              <w:t>控制板</w:t>
            </w:r>
          </w:p>
          <w:p>
            <w:pPr>
              <w:pStyle w:val="Style24"/>
              <w:numPr>
                <w:ilvl w:val="0"/>
                <w:numId w:val="2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 xml:space="preserve">Arduino IDE </w:t>
            </w:r>
            <w:r>
              <w:rPr>
                <w:rFonts w:eastAsia="標楷體"/>
              </w:rPr>
              <w:t>基礎練習</w:t>
            </w:r>
          </w:p>
          <w:p>
            <w:pPr>
              <w:pStyle w:val="Style24"/>
              <w:numPr>
                <w:ilvl w:val="0"/>
                <w:numId w:val="2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超音波感知器操作</w:t>
            </w:r>
          </w:p>
          <w:p>
            <w:pPr>
              <w:pStyle w:val="Style24"/>
              <w:numPr>
                <w:ilvl w:val="0"/>
                <w:numId w:val="2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繼電模組和</w:t>
            </w:r>
            <w:r>
              <w:rPr>
                <w:rFonts w:eastAsia="標楷體"/>
              </w:rPr>
              <w:t>TT</w:t>
            </w:r>
            <w:r>
              <w:rPr>
                <w:rFonts w:eastAsia="標楷體"/>
              </w:rPr>
              <w:t>馬達互動操作</w:t>
            </w:r>
          </w:p>
          <w:p>
            <w:pPr>
              <w:pStyle w:val="Style24"/>
              <w:numPr>
                <w:ilvl w:val="0"/>
                <w:numId w:val="2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消毒器機電整合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70" w:hanging="0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講座：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林進雄老師</w:t>
            </w:r>
          </w:p>
          <w:p>
            <w:pPr>
              <w:pStyle w:val="Style20"/>
              <w:spacing w:lineRule="exact" w:line="360"/>
              <w:ind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龍山國中</w:t>
            </w:r>
            <w:r>
              <w:rPr>
                <w:rFonts w:eastAsia="標楷體"/>
              </w:rPr>
              <w:t>)</w:t>
            </w:r>
          </w:p>
        </w:tc>
      </w:tr>
      <w:tr>
        <w:trPr>
          <w:trHeight w:val="1205" w:hRule="atLeast"/>
        </w:trPr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tabs>
                <w:tab w:val="left" w:pos="2292" w:leader="none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12:00~13:20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0"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午餐／休息</w:t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5" w:hRule="atLeast"/>
        </w:trPr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tabs>
                <w:tab w:val="left" w:pos="2292" w:leader="none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13:20~16:00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0"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4"/>
              <w:numPr>
                <w:ilvl w:val="0"/>
                <w:numId w:val="3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消毒器運作的演算法（流程圖）實作</w:t>
            </w:r>
          </w:p>
          <w:p>
            <w:pPr>
              <w:pStyle w:val="Style24"/>
              <w:numPr>
                <w:ilvl w:val="0"/>
                <w:numId w:val="3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認識</w:t>
            </w:r>
            <w:r>
              <w:rPr>
                <w:rFonts w:eastAsia="標楷體"/>
              </w:rPr>
              <w:t>MotoBlockly</w:t>
            </w:r>
            <w:r>
              <w:rPr>
                <w:rFonts w:eastAsia="標楷體"/>
              </w:rPr>
              <w:t>和基本操作</w:t>
            </w:r>
          </w:p>
          <w:p>
            <w:pPr>
              <w:pStyle w:val="Style24"/>
              <w:numPr>
                <w:ilvl w:val="0"/>
                <w:numId w:val="3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消毒器</w:t>
            </w:r>
            <w:r>
              <w:rPr>
                <w:rFonts w:eastAsia="標楷體"/>
              </w:rPr>
              <w:t>MotoBlockly</w:t>
            </w:r>
            <w:r>
              <w:rPr>
                <w:rFonts w:eastAsia="標楷體"/>
              </w:rPr>
              <w:t>積木程式實作</w:t>
            </w:r>
          </w:p>
          <w:p>
            <w:pPr>
              <w:pStyle w:val="Style24"/>
              <w:numPr>
                <w:ilvl w:val="0"/>
                <w:numId w:val="3"/>
              </w:numPr>
              <w:spacing w:lineRule="exact" w:line="360"/>
              <w:ind w:left="480" w:right="-70" w:hanging="0"/>
              <w:rPr>
                <w:rFonts w:eastAsia="標楷體"/>
              </w:rPr>
            </w:pPr>
            <w:r>
              <w:rPr>
                <w:rFonts w:eastAsia="標楷體"/>
              </w:rPr>
              <w:t>消毒器組裝和測試</w:t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/>
      </w:pPr>
      <w:r>
        <w:rPr>
          <w:rStyle w:val="Style14"/>
          <w:rFonts w:eastAsia="標楷體"/>
          <w:b/>
        </w:rPr>
        <w:t>研習方式：</w:t>
      </w:r>
      <w:r>
        <w:rPr>
          <w:rStyle w:val="Style14"/>
          <w:rFonts w:eastAsia="標楷體"/>
        </w:rPr>
        <w:t>講授及實作。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>
          <w:rFonts w:eastAsia="標楷體"/>
          <w:b/>
          <w:b/>
        </w:rPr>
      </w:pPr>
      <w:r>
        <w:rPr>
          <w:rFonts w:eastAsia="標楷體"/>
          <w:b/>
        </w:rPr>
        <w:t>報名方式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644" w:hanging="474"/>
        <w:rPr/>
      </w:pPr>
      <w:r>
        <w:rPr>
          <w:rStyle w:val="Style14"/>
          <w:rFonts w:eastAsia="標楷體"/>
        </w:rPr>
        <w:t>請於報名截止日前逕行登入臺北市教師在職研習網站</w:t>
      </w:r>
      <w:r>
        <w:rPr>
          <w:rStyle w:val="Style14"/>
          <w:rFonts w:eastAsia="標楷體"/>
        </w:rPr>
        <w:t>(http://insc.tp.edu.tw)</w:t>
      </w:r>
      <w:r>
        <w:rPr>
          <w:rStyle w:val="Style14"/>
          <w:rFonts w:eastAsia="標楷體"/>
        </w:rPr>
        <w:t>報名，並列印報名表經行政程序核准後，再由貴機關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學校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研習承辦人進入系統辦理</w:t>
      </w:r>
      <w:r>
        <w:rPr>
          <w:rStyle w:val="Style14"/>
          <w:rFonts w:eastAsia="標楷體"/>
          <w:u w:val="single"/>
        </w:rPr>
        <w:t>薦派報名</w:t>
      </w:r>
      <w:r>
        <w:rPr>
          <w:rStyle w:val="Style14"/>
          <w:rFonts w:eastAsia="標楷體"/>
        </w:rPr>
        <w:t>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630" w:hanging="472"/>
        <w:rPr>
          <w:rFonts w:eastAsia="標楷體"/>
        </w:rPr>
      </w:pPr>
      <w:r>
        <w:rPr>
          <w:rFonts w:eastAsia="標楷體"/>
        </w:rPr>
        <w:t>本研習於報名截止後</w:t>
      </w:r>
      <w:r>
        <w:rPr>
          <w:rFonts w:eastAsia="標楷體"/>
        </w:rPr>
        <w:t>3</w:t>
      </w:r>
      <w:r>
        <w:rPr>
          <w:rFonts w:eastAsia="標楷體"/>
        </w:rPr>
        <w:t>日內公布研習名單</w:t>
      </w:r>
      <w:r>
        <w:rPr>
          <w:rFonts w:eastAsia="標楷體"/>
        </w:rPr>
        <w:t>(</w:t>
      </w:r>
      <w:r>
        <w:rPr>
          <w:rFonts w:eastAsia="標楷體"/>
        </w:rPr>
        <w:t>以各研習員於教師在職研習網中登錄之電子郵件信箱通知</w:t>
      </w:r>
      <w:r>
        <w:rPr>
          <w:rFonts w:eastAsia="標楷體"/>
        </w:rPr>
        <w:t>)</w:t>
      </w:r>
      <w:r>
        <w:rPr>
          <w:rFonts w:eastAsia="標楷體"/>
        </w:rPr>
        <w:t>，請自行列印研習通知並準時參加研習。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>
          <w:rFonts w:eastAsia="標楷體"/>
          <w:b/>
          <w:b/>
        </w:rPr>
      </w:pPr>
      <w:r>
        <w:rPr>
          <w:rFonts w:eastAsia="標楷體"/>
          <w:b/>
        </w:rPr>
        <w:t>注意事項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630" w:hanging="472"/>
        <w:rPr>
          <w:rFonts w:eastAsia="標楷體"/>
        </w:rPr>
      </w:pPr>
      <w:r>
        <w:rPr>
          <w:rFonts w:eastAsia="標楷體"/>
        </w:rPr>
        <w:t>為落實新型冠狀病毒防疫，若有發燒、呼吸道症狀（咳嗽、喉嚨痛、打噴嚏）等症狀，請勿到訓並主動聯繫告知。研習期間請務必配戴口罩，未戴口罩將無法入場。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630" w:hanging="472"/>
        <w:rPr/>
      </w:pPr>
      <w:r>
        <w:rPr>
          <w:rStyle w:val="Style14"/>
          <w:rFonts w:eastAsia="標楷體"/>
          <w:b/>
        </w:rPr>
        <w:t>本研習依照報名順序優先錄取</w:t>
      </w:r>
      <w:r>
        <w:rPr>
          <w:rStyle w:val="Style14"/>
          <w:rFonts w:eastAsia="標楷體"/>
        </w:rPr>
        <w:t>（學校需在報名截止日前完成薦派報名作業），如報名踴躍而致額滿，本中心得提前截止報名，並於截止後</w:t>
      </w:r>
      <w:r>
        <w:rPr>
          <w:rStyle w:val="Style14"/>
          <w:rFonts w:eastAsia="標楷體"/>
        </w:rPr>
        <w:t>3</w:t>
      </w:r>
      <w:r>
        <w:rPr>
          <w:rStyle w:val="Style14"/>
          <w:rFonts w:eastAsia="標楷體"/>
        </w:rPr>
        <w:t>日內公布研習名單（以各研習員於教師在職研習網中登錄之電子郵件信箱通知）。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630" w:hanging="460"/>
        <w:rPr>
          <w:rFonts w:eastAsia="標楷體"/>
        </w:rPr>
      </w:pPr>
      <w:r>
        <w:rPr>
          <w:rFonts w:eastAsia="標楷體"/>
        </w:rPr>
        <w:t>為尊重講座及研習同儕，參與研習請務必準時，以免影響課程進行。遲到或早退超過</w:t>
      </w:r>
      <w:r>
        <w:rPr>
          <w:rFonts w:eastAsia="標楷體"/>
        </w:rPr>
        <w:t>20</w:t>
      </w:r>
      <w:r>
        <w:rPr>
          <w:rFonts w:eastAsia="標楷體"/>
        </w:rPr>
        <w:t>分鐘以上者須請假</w:t>
      </w:r>
      <w:r>
        <w:rPr>
          <w:rFonts w:eastAsia="標楷體"/>
        </w:rPr>
        <w:t>1</w:t>
      </w:r>
      <w:r>
        <w:rPr>
          <w:rFonts w:eastAsia="標楷體"/>
        </w:rPr>
        <w:t>小時。另本中心不接受「現場報名」，以免影響講義、餐食等行政作業，敬請配合。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630" w:hanging="460"/>
        <w:rPr>
          <w:rFonts w:eastAsia="標楷體"/>
        </w:rPr>
      </w:pPr>
      <w:r>
        <w:rPr>
          <w:rFonts w:eastAsia="標楷體"/>
        </w:rPr>
        <w:t>完成報名程序之研習員，倘因特殊緊急事件無法參加者，請於研習前</w:t>
      </w:r>
      <w:r>
        <w:rPr>
          <w:rFonts w:eastAsia="標楷體"/>
        </w:rPr>
        <w:t>3</w:t>
      </w:r>
      <w:r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616" w:hanging="446"/>
        <w:rPr>
          <w:rFonts w:eastAsia="標楷體"/>
        </w:rPr>
      </w:pPr>
      <w:r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616" w:hanging="446"/>
        <w:rPr>
          <w:rFonts w:eastAsia="標楷體"/>
        </w:rPr>
      </w:pPr>
      <w:r>
        <w:rPr>
          <w:rFonts w:eastAsia="標楷體"/>
        </w:rPr>
        <w:t>交通資訊</w:t>
      </w:r>
    </w:p>
    <w:p>
      <w:pPr>
        <w:pStyle w:val="Style20"/>
        <w:snapToGrid w:val="false"/>
        <w:spacing w:lineRule="atLeast" w:line="360"/>
        <w:ind w:left="1560" w:hanging="991"/>
        <w:rPr>
          <w:rFonts w:eastAsia="標楷體"/>
        </w:rPr>
      </w:pPr>
      <w:r>
        <w:rPr>
          <w:rFonts w:eastAsia="標楷體"/>
        </w:rPr>
        <w:t xml:space="preserve">1. </w:t>
      </w:r>
      <w:r>
        <w:rPr>
          <w:rFonts w:eastAsia="標楷體"/>
        </w:rPr>
        <w:t>捷運：板南線龍山寺站或板南線西門站。</w:t>
      </w:r>
    </w:p>
    <w:p>
      <w:pPr>
        <w:pStyle w:val="Style20"/>
        <w:snapToGrid w:val="false"/>
        <w:spacing w:lineRule="atLeast" w:line="360"/>
        <w:ind w:left="1560" w:hanging="991"/>
        <w:rPr>
          <w:rFonts w:eastAsia="標楷體"/>
        </w:rPr>
      </w:pPr>
      <w:r>
        <w:rPr>
          <w:rFonts w:eastAsia="標楷體"/>
        </w:rPr>
        <w:t xml:space="preserve">2. </w:t>
      </w:r>
      <w:r>
        <w:rPr>
          <w:rFonts w:eastAsia="標楷體"/>
        </w:rPr>
        <w:t>公車</w:t>
      </w:r>
    </w:p>
    <w:p>
      <w:pPr>
        <w:pStyle w:val="Style20"/>
        <w:snapToGrid w:val="false"/>
        <w:spacing w:lineRule="atLeast" w:line="360"/>
        <w:ind w:left="1130" w:hanging="324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龍山國中站：</w:t>
      </w:r>
      <w:r>
        <w:rPr>
          <w:rFonts w:eastAsia="標楷體"/>
        </w:rPr>
        <w:t>38</w:t>
      </w:r>
      <w:r>
        <w:rPr>
          <w:rFonts w:eastAsia="標楷體"/>
        </w:rPr>
        <w:t>，</w:t>
      </w:r>
      <w:r>
        <w:rPr>
          <w:rFonts w:eastAsia="標楷體"/>
        </w:rPr>
        <w:t>202</w:t>
      </w:r>
      <w:r>
        <w:rPr>
          <w:rFonts w:eastAsia="標楷體"/>
        </w:rPr>
        <w:t>區，</w:t>
      </w:r>
      <w:r>
        <w:rPr>
          <w:rFonts w:eastAsia="標楷體"/>
        </w:rPr>
        <w:t>245</w:t>
      </w:r>
      <w:r>
        <w:rPr>
          <w:rFonts w:eastAsia="標楷體"/>
        </w:rPr>
        <w:t>，</w:t>
      </w:r>
      <w:r>
        <w:rPr>
          <w:rFonts w:eastAsia="標楷體"/>
        </w:rPr>
        <w:t>263</w:t>
      </w:r>
      <w:r>
        <w:rPr>
          <w:rFonts w:eastAsia="標楷體"/>
        </w:rPr>
        <w:t>，</w:t>
      </w:r>
      <w:r>
        <w:rPr>
          <w:rFonts w:eastAsia="標楷體"/>
        </w:rPr>
        <w:t>265</w:t>
      </w:r>
      <w:r>
        <w:rPr>
          <w:rFonts w:eastAsia="標楷體"/>
        </w:rPr>
        <w:t>，</w:t>
      </w:r>
      <w:r>
        <w:rPr>
          <w:rFonts w:eastAsia="標楷體"/>
        </w:rPr>
        <w:t>265</w:t>
      </w:r>
      <w:r>
        <w:rPr>
          <w:rFonts w:eastAsia="標楷體"/>
        </w:rPr>
        <w:t>區，</w:t>
      </w:r>
      <w:r>
        <w:rPr>
          <w:rFonts w:eastAsia="標楷體"/>
        </w:rPr>
        <w:t>310</w:t>
      </w:r>
      <w:r>
        <w:rPr>
          <w:rFonts w:eastAsia="標楷體"/>
        </w:rPr>
        <w:t>，</w:t>
      </w:r>
      <w:r>
        <w:rPr>
          <w:rFonts w:eastAsia="標楷體"/>
        </w:rPr>
        <w:t>651</w:t>
      </w:r>
      <w:r>
        <w:rPr>
          <w:rFonts w:eastAsia="標楷體"/>
        </w:rPr>
        <w:t>，</w:t>
      </w:r>
      <w:r>
        <w:rPr>
          <w:rFonts w:eastAsia="標楷體"/>
        </w:rPr>
        <w:t>656</w:t>
      </w:r>
      <w:r>
        <w:rPr>
          <w:rFonts w:eastAsia="標楷體"/>
        </w:rPr>
        <w:t>。</w:t>
      </w:r>
    </w:p>
    <w:p>
      <w:pPr>
        <w:pStyle w:val="Style20"/>
        <w:snapToGrid w:val="false"/>
        <w:spacing w:lineRule="atLeast" w:line="360"/>
        <w:ind w:left="1130" w:hanging="324"/>
        <w:rPr>
          <w:rFonts w:eastAsia="標楷體"/>
        </w:rPr>
      </w:pPr>
      <w:r>
        <w:rPr>
          <w:rFonts w:eastAsia="標楷體"/>
        </w:rPr>
        <w:t>(2)</w:t>
      </w:r>
      <w:r>
        <w:rPr>
          <w:rFonts w:eastAsia="標楷體"/>
        </w:rPr>
        <w:t>聯合醫院和平院區站：</w:t>
      </w:r>
      <w:r>
        <w:rPr>
          <w:rFonts w:eastAsia="標楷體"/>
        </w:rPr>
        <w:t>12</w:t>
      </w:r>
      <w:r>
        <w:rPr>
          <w:rFonts w:eastAsia="標楷體"/>
        </w:rPr>
        <w:t>，</w:t>
      </w:r>
      <w:r>
        <w:rPr>
          <w:rFonts w:eastAsia="標楷體"/>
        </w:rPr>
        <w:t>202</w:t>
      </w:r>
      <w:r>
        <w:rPr>
          <w:rFonts w:eastAsia="標楷體"/>
        </w:rPr>
        <w:t>，</w:t>
      </w:r>
      <w:r>
        <w:rPr>
          <w:rFonts w:eastAsia="標楷體"/>
        </w:rPr>
        <w:t>205</w:t>
      </w:r>
      <w:r>
        <w:rPr>
          <w:rFonts w:eastAsia="標楷體"/>
        </w:rPr>
        <w:t>，</w:t>
      </w:r>
      <w:r>
        <w:rPr>
          <w:rFonts w:eastAsia="標楷體"/>
        </w:rPr>
        <w:t>212</w:t>
      </w:r>
      <w:r>
        <w:rPr>
          <w:rFonts w:eastAsia="標楷體"/>
        </w:rPr>
        <w:t>，</w:t>
      </w:r>
      <w:r>
        <w:rPr>
          <w:rFonts w:eastAsia="標楷體"/>
        </w:rPr>
        <w:t>212</w:t>
      </w:r>
      <w:r>
        <w:rPr>
          <w:rFonts w:eastAsia="標楷體"/>
        </w:rPr>
        <w:t>夜間公車，</w:t>
      </w:r>
      <w:r>
        <w:rPr>
          <w:rFonts w:eastAsia="標楷體"/>
        </w:rPr>
        <w:t>223</w:t>
      </w:r>
      <w:r>
        <w:rPr>
          <w:rFonts w:eastAsia="標楷體"/>
        </w:rPr>
        <w:t>，</w:t>
      </w:r>
      <w:r>
        <w:rPr>
          <w:rFonts w:eastAsia="標楷體"/>
        </w:rPr>
        <w:t>242</w:t>
      </w:r>
      <w:r>
        <w:rPr>
          <w:rFonts w:eastAsia="標楷體"/>
        </w:rPr>
        <w:t>，</w:t>
      </w:r>
      <w:r>
        <w:rPr>
          <w:rFonts w:eastAsia="標楷體"/>
        </w:rPr>
        <w:t>246</w:t>
      </w:r>
      <w:r>
        <w:rPr>
          <w:rFonts w:eastAsia="標楷體"/>
        </w:rPr>
        <w:t>，</w:t>
      </w:r>
      <w:r>
        <w:rPr>
          <w:rFonts w:eastAsia="標楷體"/>
        </w:rPr>
        <w:t>249</w:t>
      </w:r>
      <w:r>
        <w:rPr>
          <w:rFonts w:eastAsia="標楷體"/>
        </w:rPr>
        <w:t>，</w:t>
      </w:r>
      <w:r>
        <w:rPr>
          <w:rFonts w:eastAsia="標楷體"/>
        </w:rPr>
        <w:t>250</w:t>
      </w:r>
      <w:r>
        <w:rPr>
          <w:rFonts w:eastAsia="標楷體"/>
        </w:rPr>
        <w:t>，</w:t>
      </w:r>
      <w:r>
        <w:rPr>
          <w:rFonts w:eastAsia="標楷體"/>
        </w:rPr>
        <w:t>253</w:t>
      </w:r>
      <w:r>
        <w:rPr>
          <w:rFonts w:eastAsia="標楷體"/>
        </w:rPr>
        <w:t>，</w:t>
      </w:r>
      <w:r>
        <w:rPr>
          <w:rFonts w:eastAsia="標楷體"/>
        </w:rPr>
        <w:t>260</w:t>
      </w:r>
      <w:r>
        <w:rPr>
          <w:rFonts w:eastAsia="標楷體"/>
        </w:rPr>
        <w:t>，</w:t>
      </w:r>
      <w:r>
        <w:rPr>
          <w:rFonts w:eastAsia="標楷體"/>
        </w:rPr>
        <w:t>307</w:t>
      </w:r>
      <w:r>
        <w:rPr>
          <w:rFonts w:eastAsia="標楷體"/>
        </w:rPr>
        <w:t>，</w:t>
      </w:r>
      <w:r>
        <w:rPr>
          <w:rFonts w:eastAsia="標楷體"/>
        </w:rPr>
        <w:t>604</w:t>
      </w:r>
      <w:r>
        <w:rPr>
          <w:rFonts w:eastAsia="標楷體"/>
        </w:rPr>
        <w:t>，</w:t>
      </w:r>
      <w:r>
        <w:rPr>
          <w:rFonts w:eastAsia="標楷體"/>
        </w:rPr>
        <w:t>624</w:t>
      </w:r>
      <w:r>
        <w:rPr>
          <w:rFonts w:eastAsia="標楷體"/>
        </w:rPr>
        <w:t>。</w:t>
      </w:r>
    </w:p>
    <w:p>
      <w:pPr>
        <w:pStyle w:val="Style20"/>
        <w:numPr>
          <w:ilvl w:val="0"/>
          <w:numId w:val="6"/>
        </w:numPr>
        <w:snapToGrid w:val="false"/>
        <w:spacing w:lineRule="atLeast" w:line="360"/>
        <w:ind w:left="616" w:hanging="758"/>
        <w:jc w:val="both"/>
        <w:rPr/>
      </w:pPr>
      <w:r>
        <w:rPr>
          <w:rStyle w:val="Style14"/>
          <w:rFonts w:eastAsia="標楷體"/>
          <w:b/>
        </w:rPr>
        <w:t>研習時數</w:t>
      </w:r>
      <w:r>
        <w:rPr>
          <w:rStyle w:val="Style14"/>
          <w:rFonts w:eastAsia="標楷體"/>
          <w:b/>
        </w:rPr>
        <w:t>：</w:t>
      </w:r>
      <w:r>
        <w:rPr>
          <w:rStyle w:val="Style14"/>
          <w:rFonts w:eastAsia="標楷體"/>
        </w:rPr>
        <w:t>全程參與者核發</w:t>
      </w:r>
      <w:r>
        <w:rPr>
          <w:rStyle w:val="Style14"/>
          <w:rFonts w:eastAsia="標楷體"/>
        </w:rPr>
        <w:t>6</w:t>
      </w:r>
      <w:r>
        <w:rPr>
          <w:rStyle w:val="Style14"/>
          <w:rFonts w:eastAsia="標楷體"/>
        </w:rPr>
        <w:t>小時研習時數，請假時數超過研習總時數之五分之一（</w:t>
      </w:r>
      <w:r>
        <w:rPr>
          <w:rStyle w:val="Style14"/>
          <w:rFonts w:eastAsia="標楷體"/>
        </w:rPr>
        <w:t>1</w:t>
      </w:r>
      <w:r>
        <w:rPr>
          <w:rStyle w:val="Style14"/>
          <w:rFonts w:eastAsia="標楷體"/>
        </w:rPr>
        <w:t>小時）者，不給予研習時數。</w:t>
      </w:r>
      <w:r>
        <w:rPr>
          <w:rStyle w:val="Style14"/>
          <w:rFonts w:eastAsia="標楷體"/>
          <w:color w:val="000000"/>
        </w:rPr>
        <w:t>研習結束後，本中心將彙整研習員請假紀錄函送至</w:t>
      </w:r>
      <w:r>
        <w:rPr>
          <w:rStyle w:val="Style14"/>
          <w:rFonts w:eastAsia="標楷體"/>
        </w:rPr>
        <w:t>研習員所屬學校，依權責列入差假登記之參考。</w:t>
      </w:r>
    </w:p>
    <w:p>
      <w:pPr>
        <w:pStyle w:val="Style20"/>
        <w:numPr>
          <w:ilvl w:val="0"/>
          <w:numId w:val="6"/>
        </w:numPr>
        <w:snapToGrid w:val="false"/>
        <w:spacing w:lineRule="atLeast" w:line="360"/>
        <w:ind w:left="-377" w:firstLine="240"/>
        <w:jc w:val="both"/>
        <w:rPr/>
      </w:pPr>
      <w:r>
        <w:rPr>
          <w:rStyle w:val="Style14"/>
          <w:rFonts w:eastAsia="標楷體"/>
          <w:b/>
        </w:rPr>
        <w:t>聯絡方式：</w:t>
      </w:r>
      <w:r>
        <w:rPr>
          <w:rStyle w:val="Style14"/>
          <w:rFonts w:eastAsia="標楷體"/>
        </w:rPr>
        <w:t>洪源泰研究教師，聯繫電話：</w:t>
      </w:r>
      <w:r>
        <w:rPr>
          <w:rStyle w:val="Style14"/>
          <w:rFonts w:eastAsia="標楷體"/>
        </w:rPr>
        <w:t>2861-6942</w:t>
      </w:r>
      <w:r>
        <w:rPr>
          <w:rStyle w:val="Style14"/>
          <w:rFonts w:eastAsia="標楷體"/>
        </w:rPr>
        <w:t>轉</w:t>
      </w:r>
      <w:r>
        <w:rPr>
          <w:rStyle w:val="Style14"/>
          <w:rFonts w:eastAsia="標楷體"/>
        </w:rPr>
        <w:t>211</w:t>
      </w:r>
      <w:r>
        <w:rPr>
          <w:rStyle w:val="Style14"/>
          <w:rFonts w:eastAsia="標楷體"/>
        </w:rPr>
        <w:t>；傳真：</w:t>
      </w:r>
      <w:r>
        <w:rPr>
          <w:rStyle w:val="Style14"/>
          <w:rFonts w:eastAsia="標楷體"/>
        </w:rPr>
        <w:t>2861-6702</w:t>
      </w:r>
      <w:r>
        <w:rPr>
          <w:rStyle w:val="Style14"/>
          <w:rFonts w:eastAsia="標楷體"/>
        </w:rPr>
        <w:t>，</w:t>
      </w:r>
    </w:p>
    <w:p>
      <w:pPr>
        <w:pStyle w:val="Style20"/>
        <w:snapToGrid w:val="false"/>
        <w:spacing w:lineRule="atLeast" w:line="360"/>
        <w:ind w:left="480" w:firstLine="240"/>
        <w:rPr>
          <w:rFonts w:eastAsia="標楷體"/>
        </w:rPr>
      </w:pPr>
      <w:r>
        <w:rPr>
          <w:rFonts w:eastAsia="標楷體"/>
        </w:rPr>
        <w:t xml:space="preserve">         </w:t>
      </w:r>
      <w:r>
        <w:rPr>
          <w:rFonts w:eastAsia="標楷體"/>
        </w:rPr>
        <w:t>電子信箱：</w:t>
      </w:r>
      <w:r>
        <w:rPr>
          <w:rFonts w:eastAsia="標楷體"/>
        </w:rPr>
        <w:t>mikeyhung@gmail.com</w:t>
      </w:r>
    </w:p>
    <w:p>
      <w:pPr>
        <w:pStyle w:val="Style20"/>
        <w:numPr>
          <w:ilvl w:val="0"/>
          <w:numId w:val="6"/>
        </w:numPr>
        <w:snapToGrid w:val="false"/>
        <w:spacing w:lineRule="atLeast" w:line="360"/>
        <w:ind w:left="709" w:hanging="851"/>
        <w:jc w:val="both"/>
        <w:rPr/>
      </w:pPr>
      <w:r>
        <w:rPr>
          <w:rStyle w:val="Style14"/>
          <w:rFonts w:eastAsia="標楷體"/>
          <w:b/>
        </w:rPr>
        <w:t>研</w:t>
      </w:r>
      <w:r>
        <w:rPr>
          <w:rStyle w:val="Style14"/>
          <w:rFonts w:eastAsia="標楷體"/>
          <w:b/>
          <w:bCs/>
        </w:rPr>
        <w:t>習經費︰</w:t>
      </w:r>
      <w:r>
        <w:rPr>
          <w:rStyle w:val="Style14"/>
          <w:rFonts w:eastAsia="標楷體"/>
          <w:bCs/>
        </w:rPr>
        <w:t>由本中心研習經費項下支應，覈實核銷。</w:t>
      </w:r>
    </w:p>
    <w:p>
      <w:pPr>
        <w:pStyle w:val="Style20"/>
        <w:numPr>
          <w:ilvl w:val="0"/>
          <w:numId w:val="6"/>
        </w:numPr>
        <w:snapToGrid w:val="false"/>
        <w:spacing w:lineRule="atLeast" w:line="360"/>
        <w:ind w:left="709" w:hanging="851"/>
        <w:jc w:val="both"/>
        <w:rPr/>
      </w:pPr>
      <w:r>
        <w:rPr>
          <w:rStyle w:val="Style14"/>
          <w:rFonts w:eastAsia="標楷體"/>
          <w:b/>
          <w:bCs/>
        </w:rPr>
        <w:t>其    他：</w:t>
      </w:r>
      <w:r>
        <w:rPr>
          <w:rStyle w:val="Style14"/>
          <w:rFonts w:eastAsia="標楷體"/>
          <w:bCs/>
        </w:rPr>
        <w:t>本研習計畫</w:t>
      </w:r>
      <w:r>
        <w:rPr>
          <w:rStyle w:val="Style14"/>
          <w:rFonts w:eastAsia="標楷體"/>
          <w:color w:val="000000"/>
        </w:rPr>
        <w:t>陳奉</w:t>
      </w:r>
      <w:r>
        <w:rPr>
          <w:rStyle w:val="Style14"/>
          <w:rFonts w:eastAsia="標楷體"/>
          <w:bCs/>
        </w:rPr>
        <w:t>本中心主任核可後實施，修正時亦同。</w:t>
      </w:r>
    </w:p>
    <w:p>
      <w:pPr>
        <w:pStyle w:val="Style20"/>
        <w:rPr/>
      </w:pPr>
      <w:r>
        <w:rPr/>
      </w:r>
    </w:p>
    <w:sectPr>
      <w:type w:val="nextPage"/>
      <w:pgSz w:w="11906" w:h="16838"/>
      <w:pgMar w:left="1134" w:right="991" w:header="0" w:top="567" w:footer="0" w:bottom="425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新細明體"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、"/>
      <w:lvlJc w:val="left"/>
      <w:pPr>
        <w:ind w:left="1701" w:hanging="1701"/>
      </w:pPr>
      <w:rPr>
        <w:b/>
        <w:lang w:val="en-US"/>
      </w:rPr>
    </w:lvl>
    <w:lvl w:ilvl="1">
      <w:start w:val="1"/>
      <w:numFmt w:val="decimal"/>
      <w:lvlText w:val="(%2)"/>
      <w:lvlJc w:val="left"/>
      <w:pPr>
        <w:ind w:left="575" w:hanging="405"/>
      </w:pPr>
      <w:rPr>
        <w:b w:val="false"/>
      </w:rPr>
    </w:lvl>
    <w:lvl w:ilvl="2">
      <w:start w:val="1"/>
      <w:numFmt w:val="decimal"/>
      <w:suff w:val="nothing"/>
      <w:lvlText w:val="（%3）"/>
      <w:lvlJc w:val="left"/>
      <w:pPr>
        <w:ind w:left="1095" w:hanging="735"/>
      </w:pPr>
      <w:rPr>
        <w:b w:val="false"/>
        <w:rFonts w:ascii="標楷體" w:hAnsi="標楷體" w:eastAsia="標楷體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lvl w:ilvl="0">
      <w:start w:val="1"/>
      <w:numFmt w:val="decimal"/>
      <w:suff w:val="space"/>
      <w:lvlText w:val="(%1)"/>
      <w:lvlJc w:val="left"/>
      <w:pPr>
        <w:ind w:left="964" w:hanging="794"/>
      </w:pPr>
      <w:rPr>
        <w:b w:val="false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lvl w:ilvl="0">
      <w:start w:val="1"/>
      <w:numFmt w:val="decimal"/>
      <w:suff w:val="space"/>
      <w:lvlText w:val="(%1)"/>
      <w:lvlJc w:val="left"/>
      <w:pPr>
        <w:ind w:left="964" w:hanging="794"/>
      </w:pPr>
      <w:rPr>
        <w:b w:val="false"/>
      </w:rPr>
    </w:lvl>
    <w:lvl w:ilvl="1">
      <w:start w:val="1"/>
      <w:numFmt w:val="decimal"/>
      <w:suff w:val="space"/>
      <w:lvlText w:val="%2."/>
      <w:lvlJc w:val="left"/>
      <w:pPr>
        <w:ind w:left="530" w:hanging="36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lvl w:ilvl="0">
      <w:start w:val="13"/>
      <w:numFmt w:val="decimal"/>
      <w:suff w:val="space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縮排 字元"/>
    <w:basedOn w:val="Style14"/>
    <w:qFormat/>
    <w:rPr>
      <w:rFonts w:ascii="新細明體" w:hAnsi="新細明體" w:eastAsia="新細明體" w:cs="Times New Roman"/>
      <w:sz w:val="28"/>
      <w:szCs w:val="32"/>
    </w:rPr>
  </w:style>
  <w:style w:type="character" w:styleId="Style16">
    <w:name w:val="頁首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7">
    <w:name w:val="頁尾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8">
    <w:name w:val="超連結"/>
    <w:basedOn w:val="Style14"/>
    <w:qFormat/>
    <w:rPr>
      <w:color w:val="0000FF"/>
      <w:u w:val="single"/>
    </w:rPr>
  </w:style>
  <w:style w:type="character" w:styleId="Xdb">
    <w:name w:val="_xdb"/>
    <w:basedOn w:val="Style14"/>
    <w:qFormat/>
    <w:rPr/>
  </w:style>
  <w:style w:type="character" w:styleId="Appleconvertedspace">
    <w:name w:val="apple-converted-space"/>
    <w:basedOn w:val="Style14"/>
    <w:qFormat/>
    <w:rPr/>
  </w:style>
  <w:style w:type="character" w:styleId="Xbe">
    <w:name w:val="_xbe"/>
    <w:basedOn w:val="Style14"/>
    <w:qFormat/>
    <w:rPr/>
  </w:style>
  <w:style w:type="character" w:styleId="Style19">
    <w:name w:val="註解方塊文字 字元"/>
    <w:basedOn w:val="Style14"/>
    <w:qFormat/>
    <w:rPr>
      <w:rFonts w:ascii="Cambria" w:hAnsi="Cambria" w:eastAsia="新細明體" w:cs="Times New Roman"/>
      <w:sz w:val="18"/>
      <w:szCs w:val="18"/>
    </w:rPr>
  </w:style>
  <w:style w:type="character" w:styleId="WWCharLFO1LVL1">
    <w:name w:val="WW_CharLFO1LVL1"/>
    <w:qFormat/>
    <w:rPr>
      <w:b/>
      <w:lang w:val="en-US"/>
    </w:rPr>
  </w:style>
  <w:style w:type="character" w:styleId="WWCharLFO1LVL2">
    <w:name w:val="WW_CharLFO1LVL2"/>
    <w:qFormat/>
    <w:rPr>
      <w:b w:val="false"/>
    </w:rPr>
  </w:style>
  <w:style w:type="character" w:styleId="WWCharLFO1LVL3">
    <w:name w:val="WW_CharLFO1LVL3"/>
    <w:qFormat/>
    <w:rPr>
      <w:rFonts w:ascii="標楷體" w:hAnsi="標楷體" w:eastAsia="標楷體" w:cs="Times New Roman"/>
      <w:b w:val="false"/>
    </w:rPr>
  </w:style>
  <w:style w:type="character" w:styleId="WWCharLFO2LVL1">
    <w:name w:val="WW_CharLFO2LVL1"/>
    <w:qFormat/>
    <w:rPr>
      <w:rFonts w:ascii="標楷體" w:hAnsi="標楷體" w:eastAsia="標楷體"/>
      <w:b w:val="false"/>
      <w:lang w:val="en-US"/>
    </w:rPr>
  </w:style>
  <w:style w:type="character" w:styleId="WWCharLFO3LVL1">
    <w:name w:val="WW_CharLFO3LVL1"/>
    <w:qFormat/>
    <w:rPr>
      <w:b w:val="false"/>
    </w:rPr>
  </w:style>
  <w:style w:type="character" w:styleId="WWCharLFO8LVL1">
    <w:name w:val="WW_CharLFO8LVL1"/>
    <w:qFormat/>
    <w:rPr>
      <w:b/>
    </w:rPr>
  </w:style>
  <w:style w:type="character" w:styleId="WWCharLFO9LVL1">
    <w:name w:val="WW_CharLFO9LVL1"/>
    <w:qFormat/>
    <w:rPr>
      <w:b w:val="false"/>
    </w:rPr>
  </w:style>
  <w:style w:type="character" w:styleId="WWCharLFO10LVL1">
    <w:name w:val="WW_CharLFO10LVL1"/>
    <w:qFormat/>
    <w:rPr>
      <w:b w:val="false"/>
      <w:lang w:val="en-US"/>
    </w:rPr>
  </w:style>
  <w:style w:type="character" w:styleId="WWCharLFO11LVL1">
    <w:name w:val="WW_CharLFO11LVL1"/>
    <w:qFormat/>
    <w:rPr>
      <w:b w:val="false"/>
    </w:rPr>
  </w:style>
  <w:style w:type="character" w:styleId="WWCharLFO12LVL1">
    <w:name w:val="WW_CharLFO12LVL1"/>
    <w:qFormat/>
    <w:rPr>
      <w:b w:val="false"/>
    </w:rPr>
  </w:style>
  <w:style w:type="character" w:styleId="WWCharLFO13LVL1">
    <w:name w:val="WW_CharLFO13LVL1"/>
    <w:qFormat/>
    <w:rPr>
      <w:b w:val="false"/>
    </w:rPr>
  </w:style>
  <w:style w:type="character" w:styleId="WWCharLFO14LVL1">
    <w:name w:val="WW_CharLFO14LVL1"/>
    <w:qFormat/>
    <w:rPr>
      <w:color w:val="000000"/>
    </w:rPr>
  </w:style>
  <w:style w:type="character" w:styleId="WWCharLFO15LVL1">
    <w:name w:val="WW_CharLFO15LVL1"/>
    <w:qFormat/>
    <w:rPr>
      <w:b w:val="false"/>
    </w:rPr>
  </w:style>
  <w:style w:type="character" w:styleId="WWCharLFO16LVL1">
    <w:name w:val="WW_CharLFO16LVL1"/>
    <w:qFormat/>
    <w:rPr>
      <w:rFonts w:ascii="標楷體" w:hAnsi="標楷體" w:eastAsia="標楷體" w:cs="Times New Roman"/>
    </w:rPr>
  </w:style>
  <w:style w:type="character" w:styleId="WWCharLFO16LVL2">
    <w:name w:val="WW_CharLFO16LVL2"/>
    <w:qFormat/>
    <w:rPr>
      <w:rFonts w:ascii="Wingdings" w:hAnsi="Wingdings"/>
    </w:rPr>
  </w:style>
  <w:style w:type="character" w:styleId="WWCharLFO16LVL3">
    <w:name w:val="WW_CharLFO16LVL3"/>
    <w:qFormat/>
    <w:rPr>
      <w:rFonts w:ascii="Wingdings" w:hAnsi="Wingdings"/>
    </w:rPr>
  </w:style>
  <w:style w:type="character" w:styleId="WWCharLFO16LVL4">
    <w:name w:val="WW_CharLFO16LVL4"/>
    <w:qFormat/>
    <w:rPr>
      <w:rFonts w:ascii="Wingdings" w:hAnsi="Wingdings"/>
    </w:rPr>
  </w:style>
  <w:style w:type="character" w:styleId="WWCharLFO16LVL5">
    <w:name w:val="WW_CharLFO16LVL5"/>
    <w:qFormat/>
    <w:rPr>
      <w:rFonts w:ascii="Wingdings" w:hAnsi="Wingdings"/>
    </w:rPr>
  </w:style>
  <w:style w:type="character" w:styleId="WWCharLFO16LVL6">
    <w:name w:val="WW_CharLFO16LVL6"/>
    <w:qFormat/>
    <w:rPr>
      <w:rFonts w:ascii="Wingdings" w:hAnsi="Wingdings"/>
    </w:rPr>
  </w:style>
  <w:style w:type="character" w:styleId="WWCharLFO16LVL7">
    <w:name w:val="WW_CharLFO16LVL7"/>
    <w:qFormat/>
    <w:rPr>
      <w:rFonts w:ascii="Wingdings" w:hAnsi="Wingdings"/>
    </w:rPr>
  </w:style>
  <w:style w:type="character" w:styleId="WWCharLFO16LVL8">
    <w:name w:val="WW_CharLFO16LVL8"/>
    <w:qFormat/>
    <w:rPr>
      <w:rFonts w:ascii="Wingdings" w:hAnsi="Wingdings"/>
    </w:rPr>
  </w:style>
  <w:style w:type="character" w:styleId="WWCharLFO16LVL9">
    <w:name w:val="WW_CharLFO16LVL9"/>
    <w:qFormat/>
    <w:rPr>
      <w:rFonts w:ascii="Wingdings" w:hAnsi="Wingdings"/>
    </w:rPr>
  </w:style>
  <w:style w:type="character" w:styleId="WWCharLFO18LVL1">
    <w:name w:val="WW_CharLFO18LVL1"/>
    <w:qFormat/>
    <w:rPr>
      <w:b/>
    </w:rPr>
  </w:style>
  <w:style w:type="character" w:styleId="WWCharLFO19LVL1">
    <w:name w:val="WW_CharLFO19LVL1"/>
    <w:qFormat/>
    <w:rPr>
      <w:b/>
    </w:rPr>
  </w:style>
  <w:style w:type="character" w:styleId="WWCharLFO20LVL1">
    <w:name w:val="WW_CharLFO20LVL1"/>
    <w:qFormat/>
    <w:rPr>
      <w:b/>
    </w:rPr>
  </w:style>
  <w:style w:type="character" w:styleId="WWCharLFO21LVL1">
    <w:name w:val="WW_CharLFO21LVL1"/>
    <w:qFormat/>
    <w:rPr>
      <w:b/>
    </w:rPr>
  </w:style>
  <w:style w:type="character" w:styleId="WWCharLFO22LVL1">
    <w:name w:val="WW_CharLFO22LVL1"/>
    <w:qFormat/>
    <w:rPr>
      <w:b/>
    </w:rPr>
  </w:style>
  <w:style w:type="character" w:styleId="WWCharLFO23LVL1">
    <w:name w:val="WW_CharLFO23LVL1"/>
    <w:qFormat/>
    <w:rPr>
      <w:b/>
    </w:rPr>
  </w:style>
  <w:style w:type="character" w:styleId="WWCharLFO24LVL1">
    <w:name w:val="WW_CharLFO24LVL1"/>
    <w:qFormat/>
    <w:rPr>
      <w:b/>
    </w:rPr>
  </w:style>
  <w:style w:type="character" w:styleId="WWCharLFO25LVL1">
    <w:name w:val="WW_CharLFO25LVL1"/>
    <w:qFormat/>
    <w:rPr>
      <w:b/>
    </w:rPr>
  </w:style>
  <w:style w:type="character" w:styleId="WWCharLFO28LVL1">
    <w:name w:val="WW_CharLFO28LVL1"/>
    <w:qFormat/>
    <w:rPr>
      <w:rFonts w:ascii="Wingdings" w:hAnsi="Wingdings"/>
    </w:rPr>
  </w:style>
  <w:style w:type="character" w:styleId="WWCharLFO28LVL2">
    <w:name w:val="WW_CharLFO28LVL2"/>
    <w:qFormat/>
    <w:rPr>
      <w:rFonts w:ascii="Wingdings" w:hAnsi="Wingdings"/>
    </w:rPr>
  </w:style>
  <w:style w:type="character" w:styleId="WWCharLFO28LVL3">
    <w:name w:val="WW_CharLFO28LVL3"/>
    <w:qFormat/>
    <w:rPr>
      <w:rFonts w:ascii="Wingdings" w:hAnsi="Wingdings"/>
    </w:rPr>
  </w:style>
  <w:style w:type="character" w:styleId="WWCharLFO28LVL4">
    <w:name w:val="WW_CharLFO28LVL4"/>
    <w:qFormat/>
    <w:rPr>
      <w:rFonts w:ascii="Wingdings" w:hAnsi="Wingdings"/>
    </w:rPr>
  </w:style>
  <w:style w:type="character" w:styleId="WWCharLFO28LVL5">
    <w:name w:val="WW_CharLFO28LVL5"/>
    <w:qFormat/>
    <w:rPr>
      <w:rFonts w:ascii="Wingdings" w:hAnsi="Wingdings"/>
    </w:rPr>
  </w:style>
  <w:style w:type="character" w:styleId="WWCharLFO28LVL6">
    <w:name w:val="WW_CharLFO28LVL6"/>
    <w:qFormat/>
    <w:rPr>
      <w:rFonts w:ascii="Wingdings" w:hAnsi="Wingdings"/>
    </w:rPr>
  </w:style>
  <w:style w:type="character" w:styleId="WWCharLFO28LVL7">
    <w:name w:val="WW_CharLFO28LVL7"/>
    <w:qFormat/>
    <w:rPr>
      <w:rFonts w:ascii="Wingdings" w:hAnsi="Wingdings"/>
    </w:rPr>
  </w:style>
  <w:style w:type="character" w:styleId="WWCharLFO28LVL8">
    <w:name w:val="WW_CharLFO28LVL8"/>
    <w:qFormat/>
    <w:rPr>
      <w:rFonts w:ascii="Wingdings" w:hAnsi="Wingdings"/>
    </w:rPr>
  </w:style>
  <w:style w:type="character" w:styleId="WWCharLFO28LVL9">
    <w:name w:val="WW_CharLFO28LVL9"/>
    <w:qFormat/>
    <w:rPr>
      <w:rFonts w:ascii="Wingdings" w:hAnsi="Wingdings"/>
    </w:rPr>
  </w:style>
  <w:style w:type="character" w:styleId="WWCharLFO29LVL2">
    <w:name w:val="WW_CharLFO29LVL2"/>
    <w:qFormat/>
    <w:rPr>
      <w:rFonts w:ascii="Wingdings" w:hAnsi="Wingdings"/>
    </w:rPr>
  </w:style>
  <w:style w:type="character" w:styleId="WWCharLFO29LVL3">
    <w:name w:val="WW_CharLFO29LVL3"/>
    <w:qFormat/>
    <w:rPr>
      <w:rFonts w:ascii="Wingdings" w:hAnsi="Wingdings"/>
    </w:rPr>
  </w:style>
  <w:style w:type="character" w:styleId="WWCharLFO29LVL4">
    <w:name w:val="WW_CharLFO29LVL4"/>
    <w:qFormat/>
    <w:rPr>
      <w:rFonts w:ascii="Wingdings" w:hAnsi="Wingdings"/>
    </w:rPr>
  </w:style>
  <w:style w:type="character" w:styleId="WWCharLFO29LVL5">
    <w:name w:val="WW_CharLFO29LVL5"/>
    <w:qFormat/>
    <w:rPr>
      <w:rFonts w:ascii="Wingdings" w:hAnsi="Wingdings"/>
    </w:rPr>
  </w:style>
  <w:style w:type="character" w:styleId="WWCharLFO29LVL6">
    <w:name w:val="WW_CharLFO29LVL6"/>
    <w:qFormat/>
    <w:rPr>
      <w:rFonts w:ascii="Wingdings" w:hAnsi="Wingdings"/>
    </w:rPr>
  </w:style>
  <w:style w:type="character" w:styleId="WWCharLFO29LVL7">
    <w:name w:val="WW_CharLFO29LVL7"/>
    <w:qFormat/>
    <w:rPr>
      <w:rFonts w:ascii="Wingdings" w:hAnsi="Wingdings"/>
    </w:rPr>
  </w:style>
  <w:style w:type="character" w:styleId="WWCharLFO29LVL8">
    <w:name w:val="WW_CharLFO29LVL8"/>
    <w:qFormat/>
    <w:rPr>
      <w:rFonts w:ascii="Wingdings" w:hAnsi="Wingdings"/>
    </w:rPr>
  </w:style>
  <w:style w:type="character" w:styleId="WWCharLFO29LVL9">
    <w:name w:val="WW_CharLFO29LVL9"/>
    <w:qFormat/>
    <w:rPr>
      <w:rFonts w:ascii="Wingdings" w:hAnsi="Wingdings"/>
    </w:rPr>
  </w:style>
  <w:style w:type="paragraph" w:styleId="Style20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1">
    <w:name w:val="本文縮排"/>
    <w:basedOn w:val="Style20"/>
    <w:qFormat/>
    <w:pPr>
      <w:suppressAutoHyphens w:val="true"/>
      <w:ind w:firstLine="280"/>
      <w:jc w:val="center"/>
    </w:pPr>
    <w:rPr>
      <w:rFonts w:ascii="新細明體" w:hAnsi="新細明體"/>
      <w:sz w:val="28"/>
      <w:szCs w:val="32"/>
    </w:rPr>
  </w:style>
  <w:style w:type="paragraph" w:styleId="Style22">
    <w:name w:val="Header"/>
    <w:basedOn w:val="Style20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Style20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清單段落"/>
    <w:basedOn w:val="Style20"/>
    <w:qFormat/>
    <w:pPr>
      <w:suppressAutoHyphens w:val="true"/>
      <w:ind w:left="480" w:hanging="0"/>
    </w:pPr>
    <w:rPr/>
  </w:style>
  <w:style w:type="paragraph" w:styleId="Style25">
    <w:name w:val="註解方塊文字"/>
    <w:basedOn w:val="Style20"/>
    <w:qFormat/>
    <w:pPr>
      <w:suppressAutoHyphens w:val="true"/>
    </w:pPr>
    <w:rPr>
      <w:rFonts w:ascii="Cambria" w:hAnsi="Cambria" w:eastAsia="新細明體" w:cs="Times New Roman"/>
      <w:sz w:val="18"/>
      <w:szCs w:val="18"/>
    </w:rPr>
  </w:style>
  <w:style w:type="paragraph" w:styleId="Web">
    <w:name w:val="內文 (Web)"/>
    <w:basedOn w:val="Style20"/>
    <w:qFormat/>
    <w:pPr>
      <w:widowControl/>
      <w:suppressAutoHyphens w:val="true"/>
      <w:spacing w:before="100" w:after="100"/>
    </w:pPr>
    <w:rPr>
      <w:rFonts w:ascii="新細明體" w:hAnsi="新細明體" w:cs="新細明體"/>
    </w:rPr>
  </w:style>
  <w:style w:type="paragraph" w:styleId="Style26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LibreOffice/5.3.3.2$Windows_x86 LibreOffice_project/3d9a8b4b4e538a85e0782bd6c2d430bafe583448</Application>
  <Pages>2</Pages>
  <Words>235</Words>
  <Characters>1341</Characters>
  <CharactersWithSpaces>1573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2020-05-21T02:44:00Z</dcterms:created>
  <dc:creator>洪源泰</dc:creator>
  <dc:description/>
  <dc:language>zh-TW</dc:language>
  <cp:lastModifiedBy>中心同仁</cp:lastModifiedBy>
  <cp:lastPrinted>2019-03-06T08:50:00Z</cp:lastPrinted>
  <dcterms:modified xsi:type="dcterms:W3CDTF">2020-05-21T02:44:00Z</dcterms:modified>
  <cp:revision>2</cp:revision>
  <dc:subject/>
  <dc:title/>
</cp:coreProperties>
</file>