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jc w:val="center"/>
        <w:rPr>
          <w:rFonts w:eastAsia="標楷體"/>
          <w:b/>
          <w:b/>
          <w:szCs w:val="22"/>
        </w:rPr>
      </w:pPr>
      <w:r>
        <w:rPr>
          <w:rFonts w:eastAsia="標楷體"/>
          <w:b/>
          <w:szCs w:val="22"/>
        </w:rPr>
        <w:t>臺北市教師研習中心</w:t>
      </w:r>
    </w:p>
    <w:p>
      <w:pPr>
        <w:pStyle w:val="Style21"/>
        <w:jc w:val="center"/>
        <w:rPr>
          <w:rFonts w:eastAsia="標楷體"/>
          <w:b/>
          <w:b/>
          <w:szCs w:val="22"/>
        </w:rPr>
      </w:pPr>
      <w:bookmarkStart w:id="0" w:name="__DdeLink__392_2760010065"/>
      <w:bookmarkEnd w:id="0"/>
      <w:r>
        <w:rPr>
          <w:rFonts w:eastAsia="標楷體"/>
          <w:b/>
          <w:szCs w:val="22"/>
        </w:rPr>
        <w:t>探究式學習在海科館之運用研習班</w:t>
      </w:r>
    </w:p>
    <w:p>
      <w:pPr>
        <w:pStyle w:val="Style21"/>
        <w:jc w:val="center"/>
        <w:rPr>
          <w:rFonts w:eastAsia="標楷體"/>
          <w:b/>
          <w:b/>
          <w:szCs w:val="22"/>
        </w:rPr>
      </w:pPr>
      <w:r>
        <w:rPr>
          <w:rFonts w:eastAsia="標楷體"/>
          <w:b/>
          <w:szCs w:val="22"/>
        </w:rPr>
        <w:t>實施計畫</w:t>
      </w:r>
    </w:p>
    <w:p>
      <w:pPr>
        <w:pStyle w:val="Style21"/>
        <w:numPr>
          <w:ilvl w:val="0"/>
          <w:numId w:val="2"/>
        </w:numPr>
        <w:ind w:left="1701" w:hanging="1701"/>
        <w:rPr/>
      </w:pPr>
      <w:r>
        <w:rPr>
          <w:rStyle w:val="Style13"/>
          <w:rFonts w:eastAsia="標楷體"/>
          <w:b/>
          <w:szCs w:val="22"/>
        </w:rPr>
        <w:t>研習依據：</w:t>
      </w:r>
      <w:r>
        <w:rPr>
          <w:rStyle w:val="Style13"/>
          <w:rFonts w:eastAsia="標楷體"/>
          <w:szCs w:val="22"/>
        </w:rPr>
        <w:t>依據本中心</w:t>
      </w:r>
      <w:r>
        <w:rPr>
          <w:rStyle w:val="Style13"/>
          <w:rFonts w:eastAsia="標楷體"/>
          <w:szCs w:val="22"/>
        </w:rPr>
        <w:t>108</w:t>
      </w:r>
      <w:r>
        <w:rPr>
          <w:rStyle w:val="Style13"/>
          <w:rFonts w:eastAsia="標楷體"/>
          <w:szCs w:val="22"/>
        </w:rPr>
        <w:t>年研習行事曆辦理。</w:t>
      </w:r>
    </w:p>
    <w:p>
      <w:pPr>
        <w:pStyle w:val="Style21"/>
        <w:numPr>
          <w:ilvl w:val="0"/>
          <w:numId w:val="2"/>
        </w:numPr>
        <w:ind w:left="462" w:hanging="462"/>
        <w:rPr>
          <w:rFonts w:eastAsia="標楷體"/>
          <w:b/>
          <w:b/>
          <w:szCs w:val="22"/>
        </w:rPr>
      </w:pPr>
      <w:r>
        <w:rPr>
          <w:rFonts w:eastAsia="標楷體"/>
          <w:b/>
          <w:szCs w:val="22"/>
        </w:rPr>
        <w:t>研習目標：</w:t>
      </w:r>
    </w:p>
    <w:p>
      <w:pPr>
        <w:pStyle w:val="Style22"/>
        <w:numPr>
          <w:ilvl w:val="0"/>
          <w:numId w:val="3"/>
        </w:numPr>
        <w:rPr/>
      </w:pPr>
      <w:r>
        <w:rPr>
          <w:rStyle w:val="Style13"/>
          <w:rFonts w:ascii="Times New Roman" w:hAnsi="Times New Roman" w:eastAsia="標楷體"/>
        </w:rPr>
        <w:t>深化教師之探究式教學之能力，促進教師運用科學教育場館資源協助教學，以提升學生學習的效能，落實</w:t>
      </w:r>
      <w:r>
        <w:rPr>
          <w:rStyle w:val="Style13"/>
          <w:rFonts w:eastAsia="標楷體" w:ascii="Times New Roman" w:hAnsi="Times New Roman"/>
        </w:rPr>
        <w:t>12</w:t>
      </w:r>
      <w:r>
        <w:rPr>
          <w:rStyle w:val="Style13"/>
          <w:rFonts w:ascii="Times New Roman" w:hAnsi="Times New Roman" w:eastAsia="標楷體"/>
        </w:rPr>
        <w:t>年國教課綱之探究與實作的精神。</w:t>
      </w:r>
    </w:p>
    <w:p>
      <w:pPr>
        <w:pStyle w:val="Style22"/>
        <w:numPr>
          <w:ilvl w:val="0"/>
          <w:numId w:val="3"/>
        </w:numPr>
        <w:rPr/>
      </w:pPr>
      <w:r>
        <w:rPr>
          <w:rStyle w:val="Style13"/>
          <w:rFonts w:ascii="Times New Roman" w:hAnsi="Times New Roman" w:eastAsia="標楷體"/>
        </w:rPr>
        <w:t>配合</w:t>
      </w:r>
      <w:r>
        <w:rPr>
          <w:rStyle w:val="Style13"/>
          <w:rFonts w:eastAsia="標楷體" w:ascii="Times New Roman" w:hAnsi="Times New Roman"/>
        </w:rPr>
        <w:t>12</w:t>
      </w:r>
      <w:r>
        <w:rPr>
          <w:rStyle w:val="Style13"/>
          <w:rFonts w:ascii="Times New Roman" w:hAnsi="Times New Roman" w:eastAsia="標楷體"/>
        </w:rPr>
        <w:t>年國教課綱「海洋教育」議題融入課程之推行，提升教師對於海洋教育議題之理解、體驗海洋休閒與重視戲水安全之親海行為、了解海洋社會與感受海洋文化之愛海情懷及探究海洋科學與永續海洋資源之知海素養。</w:t>
      </w:r>
    </w:p>
    <w:p>
      <w:pPr>
        <w:pStyle w:val="Style21"/>
        <w:numPr>
          <w:ilvl w:val="0"/>
          <w:numId w:val="2"/>
        </w:numPr>
        <w:rPr/>
      </w:pPr>
      <w:r>
        <w:rPr>
          <w:rStyle w:val="Style13"/>
          <w:rFonts w:eastAsia="標楷體"/>
          <w:b/>
          <w:szCs w:val="22"/>
        </w:rPr>
        <w:t>主辦單位：</w:t>
      </w:r>
      <w:r>
        <w:rPr>
          <w:rStyle w:val="Style13"/>
          <w:rFonts w:eastAsia="標楷體"/>
          <w:szCs w:val="22"/>
        </w:rPr>
        <w:t>臺北市教師研習中心。</w:t>
      </w:r>
    </w:p>
    <w:p>
      <w:pPr>
        <w:pStyle w:val="Style21"/>
        <w:numPr>
          <w:ilvl w:val="0"/>
          <w:numId w:val="2"/>
        </w:numPr>
        <w:rPr/>
      </w:pPr>
      <w:r>
        <w:rPr>
          <w:rStyle w:val="Style13"/>
          <w:rFonts w:eastAsia="標楷體"/>
          <w:b/>
          <w:szCs w:val="22"/>
        </w:rPr>
        <w:t>協辦單位：</w:t>
      </w:r>
      <w:r>
        <w:rPr>
          <w:rStyle w:val="Style13"/>
          <w:rFonts w:eastAsia="標楷體"/>
          <w:szCs w:val="22"/>
        </w:rPr>
        <w:t>國立海洋科技博物館。</w:t>
      </w:r>
    </w:p>
    <w:p>
      <w:pPr>
        <w:pStyle w:val="Style21"/>
        <w:numPr>
          <w:ilvl w:val="0"/>
          <w:numId w:val="2"/>
        </w:numPr>
        <w:rPr/>
      </w:pPr>
      <w:r>
        <w:rPr>
          <w:rStyle w:val="Style13"/>
          <w:rFonts w:eastAsia="標楷體"/>
          <w:b/>
          <w:szCs w:val="22"/>
        </w:rPr>
        <w:t>研習對象及人數：</w:t>
      </w:r>
      <w:r>
        <w:rPr>
          <w:rStyle w:val="Style13"/>
          <w:rFonts w:eastAsia="標楷體"/>
          <w:szCs w:val="22"/>
        </w:rPr>
        <w:t>臺北市公私立國民小學對於海洋教育議題及探究式教學有興趣之教師，上限</w:t>
      </w:r>
      <w:r>
        <w:rPr>
          <w:rStyle w:val="Style13"/>
          <w:rFonts w:eastAsia="標楷體"/>
          <w:szCs w:val="22"/>
        </w:rPr>
        <w:t>30</w:t>
      </w:r>
      <w:r>
        <w:rPr>
          <w:rStyle w:val="Style13"/>
          <w:rFonts w:eastAsia="標楷體"/>
          <w:szCs w:val="22"/>
        </w:rPr>
        <w:t>人。</w:t>
      </w:r>
    </w:p>
    <w:p>
      <w:pPr>
        <w:pStyle w:val="Style21"/>
        <w:numPr>
          <w:ilvl w:val="0"/>
          <w:numId w:val="2"/>
        </w:numPr>
        <w:rPr/>
      </w:pPr>
      <w:r>
        <w:rPr>
          <w:rStyle w:val="Style13"/>
          <w:rFonts w:eastAsia="標楷體"/>
          <w:b/>
          <w:szCs w:val="22"/>
        </w:rPr>
        <w:t>研習日期：</w:t>
      </w:r>
      <w:r>
        <w:rPr>
          <w:rStyle w:val="Style13"/>
          <w:rFonts w:eastAsia="標楷體"/>
        </w:rPr>
        <w:t>108</w:t>
      </w:r>
      <w:r>
        <w:rPr>
          <w:rStyle w:val="Style13"/>
          <w:rFonts w:eastAsia="標楷體"/>
        </w:rPr>
        <w:t>年</w:t>
      </w:r>
      <w:r>
        <w:rPr>
          <w:rStyle w:val="Style13"/>
          <w:rFonts w:eastAsia="標楷體"/>
        </w:rPr>
        <w:t>11</w:t>
      </w:r>
      <w:r>
        <w:rPr>
          <w:rStyle w:val="Style13"/>
          <w:rFonts w:eastAsia="標楷體"/>
        </w:rPr>
        <w:t>月</w:t>
      </w:r>
      <w:r>
        <w:rPr>
          <w:rStyle w:val="Style13"/>
          <w:rFonts w:eastAsia="標楷體"/>
        </w:rPr>
        <w:t>13</w:t>
      </w:r>
      <w:r>
        <w:rPr>
          <w:rStyle w:val="Style13"/>
          <w:rFonts w:eastAsia="標楷體"/>
        </w:rPr>
        <w:t>日</w:t>
      </w:r>
      <w:r>
        <w:rPr>
          <w:rStyle w:val="Style13"/>
          <w:rFonts w:eastAsia="標楷體"/>
        </w:rPr>
        <w:t>(</w:t>
      </w:r>
      <w:r>
        <w:rPr>
          <w:rStyle w:val="Style13"/>
          <w:rFonts w:eastAsia="標楷體"/>
        </w:rPr>
        <w:t>星期三</w:t>
      </w:r>
      <w:r>
        <w:rPr>
          <w:rStyle w:val="Style13"/>
          <w:rFonts w:eastAsia="標楷體"/>
        </w:rPr>
        <w:t>)</w:t>
      </w:r>
      <w:r>
        <w:rPr>
          <w:rStyle w:val="Style13"/>
          <w:rFonts w:eastAsia="標楷體"/>
        </w:rPr>
        <w:t>。</w:t>
      </w:r>
    </w:p>
    <w:p>
      <w:pPr>
        <w:pStyle w:val="Style21"/>
        <w:numPr>
          <w:ilvl w:val="0"/>
          <w:numId w:val="2"/>
        </w:numPr>
        <w:rPr/>
      </w:pPr>
      <w:r>
        <w:rPr>
          <w:rStyle w:val="Style13"/>
          <w:rFonts w:eastAsia="標楷體"/>
          <w:b/>
        </w:rPr>
        <w:t>報名時間：</w:t>
      </w:r>
      <w:r>
        <w:rPr>
          <w:rStyle w:val="Style13"/>
          <w:rFonts w:eastAsia="標楷體"/>
        </w:rPr>
        <w:t>即日起至</w:t>
      </w:r>
      <w:r>
        <w:rPr>
          <w:rStyle w:val="Style13"/>
          <w:rFonts w:eastAsia="標楷體"/>
        </w:rPr>
        <w:t>108</w:t>
      </w:r>
      <w:r>
        <w:rPr>
          <w:rStyle w:val="Style13"/>
          <w:rFonts w:eastAsia="標楷體"/>
        </w:rPr>
        <w:t>年</w:t>
      </w:r>
      <w:r>
        <w:rPr>
          <w:rStyle w:val="Style13"/>
          <w:rFonts w:eastAsia="標楷體"/>
        </w:rPr>
        <w:t>11</w:t>
      </w:r>
      <w:r>
        <w:rPr>
          <w:rStyle w:val="Style13"/>
          <w:rFonts w:eastAsia="標楷體"/>
        </w:rPr>
        <w:t>月</w:t>
      </w:r>
      <w:r>
        <w:rPr>
          <w:rStyle w:val="Style13"/>
          <w:rFonts w:eastAsia="標楷體"/>
        </w:rPr>
        <w:t>5</w:t>
      </w:r>
      <w:r>
        <w:rPr>
          <w:rStyle w:val="Style13"/>
          <w:rFonts w:eastAsia="標楷體"/>
        </w:rPr>
        <w:t>日</w:t>
      </w:r>
      <w:r>
        <w:rPr>
          <w:rStyle w:val="Style13"/>
          <w:rFonts w:eastAsia="標楷體"/>
        </w:rPr>
        <w:t>(</w:t>
      </w:r>
      <w:r>
        <w:rPr>
          <w:rStyle w:val="Style13"/>
          <w:rFonts w:eastAsia="標楷體"/>
        </w:rPr>
        <w:t>星期二</w:t>
      </w:r>
      <w:r>
        <w:rPr>
          <w:rStyle w:val="Style13"/>
          <w:rFonts w:eastAsia="標楷體"/>
        </w:rPr>
        <w:t>)</w:t>
      </w:r>
      <w:r>
        <w:rPr>
          <w:rStyle w:val="Style13"/>
          <w:rFonts w:eastAsia="標楷體"/>
        </w:rPr>
        <w:t>止</w:t>
      </w:r>
      <w:r>
        <w:rPr>
          <w:rStyle w:val="Style13"/>
          <w:rFonts w:eastAsia="標楷體"/>
          <w:szCs w:val="22"/>
        </w:rPr>
        <w:t>，額滿則提前截止報名</w:t>
      </w:r>
      <w:r>
        <w:rPr>
          <w:rStyle w:val="Style13"/>
          <w:rFonts w:eastAsia="標楷體"/>
        </w:rPr>
        <w:t>。</w:t>
      </w:r>
    </w:p>
    <w:p>
      <w:pPr>
        <w:pStyle w:val="Style21"/>
        <w:numPr>
          <w:ilvl w:val="0"/>
          <w:numId w:val="2"/>
        </w:numPr>
        <w:rPr/>
      </w:pPr>
      <w:r>
        <w:rPr>
          <w:rStyle w:val="Style13"/>
          <w:rFonts w:eastAsia="標楷體"/>
          <w:b/>
        </w:rPr>
        <w:t>研習地點：</w:t>
      </w:r>
      <w:r>
        <w:rPr>
          <w:rStyle w:val="Style13"/>
          <w:rFonts w:eastAsia="標楷體"/>
          <w:szCs w:val="22"/>
        </w:rPr>
        <w:t>國立海洋科技博物館</w:t>
      </w:r>
      <w:r>
        <w:rPr>
          <w:rStyle w:val="Style13"/>
          <w:rFonts w:eastAsia="標楷體"/>
          <w:szCs w:val="22"/>
        </w:rPr>
        <w:t>(</w:t>
      </w:r>
      <w:r>
        <w:rPr>
          <w:rStyle w:val="Style13"/>
          <w:rFonts w:eastAsia="標楷體"/>
          <w:szCs w:val="22"/>
        </w:rPr>
        <w:t>基隆市中正區北寧路</w:t>
      </w:r>
      <w:r>
        <w:rPr>
          <w:rStyle w:val="Style13"/>
          <w:rFonts w:eastAsia="標楷體"/>
          <w:szCs w:val="22"/>
        </w:rPr>
        <w:t>367</w:t>
      </w:r>
      <w:r>
        <w:rPr>
          <w:rStyle w:val="Style13"/>
          <w:rFonts w:eastAsia="標楷體"/>
          <w:szCs w:val="22"/>
        </w:rPr>
        <w:t>號</w:t>
      </w:r>
      <w:r>
        <w:rPr>
          <w:rStyle w:val="Style13"/>
          <w:rFonts w:eastAsia="標楷體"/>
          <w:szCs w:val="22"/>
        </w:rPr>
        <w:t>)</w:t>
      </w:r>
      <w:r>
        <w:rPr>
          <w:rStyle w:val="Style13"/>
          <w:rFonts w:eastAsia="標楷體"/>
        </w:rPr>
        <w:t>。</w:t>
      </w:r>
    </w:p>
    <w:p>
      <w:pPr>
        <w:pStyle w:val="Style22"/>
        <w:numPr>
          <w:ilvl w:val="0"/>
          <w:numId w:val="2"/>
        </w:numPr>
        <w:rPr/>
      </w:pPr>
      <w:r>
        <w:rPr>
          <w:rStyle w:val="Style13"/>
          <w:rFonts w:ascii="Times New Roman" w:hAnsi="Times New Roman" w:eastAsia="標楷體"/>
          <w:b/>
        </w:rPr>
        <w:t>課程內容：</w:t>
      </w:r>
      <w:r>
        <w:rPr>
          <w:rStyle w:val="Style13"/>
          <w:rFonts w:ascii="Times New Roman" w:hAnsi="Times New Roman" w:eastAsia="標楷體"/>
          <w:bCs/>
        </w:rPr>
        <w:t>（實際課程及授課講座依網路公告為準）。</w:t>
      </w:r>
    </w:p>
    <w:p>
      <w:pPr>
        <w:pStyle w:val="Style22"/>
        <w:rPr>
          <w:rFonts w:ascii="Times New Roman" w:hAnsi="Times New Roman" w:eastAsia="標楷體"/>
        </w:rPr>
      </w:pPr>
      <w:r>
        <w:rPr>
          <w:rFonts w:eastAsia="標楷體" w:ascii="Times New Roman" w:hAnsi="Times New Roman"/>
        </w:rPr>
      </w:r>
    </w:p>
    <w:tbl>
      <w:tblPr>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536"/>
        <w:gridCol w:w="4678"/>
        <w:gridCol w:w="3137"/>
      </w:tblGrid>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BE5F1" w:val="clear"/>
            <w:tcMar>
              <w:left w:w="103" w:type="dxa"/>
            </w:tcMar>
          </w:tcPr>
          <w:p>
            <w:pPr>
              <w:pStyle w:val="Style21"/>
              <w:jc w:val="center"/>
              <w:rPr>
                <w:rFonts w:eastAsia="標楷體"/>
                <w:b/>
                <w:b/>
              </w:rPr>
            </w:pPr>
            <w:r>
              <w:rPr>
                <w:rFonts w:eastAsia="標楷體"/>
                <w:b/>
              </w:rPr>
              <w:t>時  間</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BE5F1" w:val="clear"/>
            <w:tcMar>
              <w:left w:w="103" w:type="dxa"/>
            </w:tcMar>
          </w:tcPr>
          <w:p>
            <w:pPr>
              <w:pStyle w:val="Style21"/>
              <w:jc w:val="center"/>
              <w:rPr>
                <w:rFonts w:eastAsia="標楷體"/>
                <w:b/>
                <w:b/>
              </w:rPr>
            </w:pPr>
            <w:r>
              <w:rPr>
                <w:rFonts w:eastAsia="標楷體"/>
                <w:b/>
              </w:rPr>
              <w:t>課  程  內  容</w:t>
            </w:r>
          </w:p>
        </w:tc>
        <w:tc>
          <w:tcPr>
            <w:tcW w:w="3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BE5F1" w:val="clear"/>
            <w:tcMar>
              <w:left w:w="103" w:type="dxa"/>
            </w:tcMar>
          </w:tcPr>
          <w:p>
            <w:pPr>
              <w:pStyle w:val="Style21"/>
              <w:jc w:val="center"/>
              <w:rPr>
                <w:rFonts w:eastAsia="標楷體"/>
                <w:b/>
                <w:b/>
              </w:rPr>
            </w:pPr>
            <w:r>
              <w:rPr>
                <w:rFonts w:eastAsia="標楷體"/>
                <w:b/>
              </w:rPr>
              <w:t xml:space="preserve">講  座 </w:t>
            </w:r>
          </w:p>
        </w:tc>
      </w:tr>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09:00~09:30</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rPr>
                <w:rFonts w:eastAsia="標楷體"/>
              </w:rPr>
            </w:pPr>
            <w:r>
              <w:rPr>
                <w:rFonts w:eastAsia="標楷體"/>
              </w:rPr>
              <w:t>報到、探索任務說明</w:t>
            </w:r>
          </w:p>
        </w:tc>
        <w:tc>
          <w:tcPr>
            <w:tcW w:w="3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w:t>
            </w:r>
          </w:p>
        </w:tc>
      </w:tr>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09:30~10:20</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rPr>
                <w:rFonts w:eastAsia="標楷體"/>
              </w:rPr>
            </w:pPr>
            <w:r>
              <w:rPr>
                <w:rFonts w:eastAsia="標楷體"/>
              </w:rPr>
              <w:t>海洋環境廳</w:t>
            </w:r>
            <w:r>
              <w:rPr>
                <w:rFonts w:eastAsia="標楷體"/>
              </w:rPr>
              <w:t>/</w:t>
            </w:r>
            <w:r>
              <w:rPr>
                <w:rFonts w:eastAsia="標楷體"/>
              </w:rPr>
              <w:t>深海廳：實境探索</w:t>
            </w:r>
          </w:p>
        </w:tc>
        <w:tc>
          <w:tcPr>
            <w:tcW w:w="3137" w:type="dxa"/>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葉蓉樺博士</w:t>
            </w:r>
          </w:p>
        </w:tc>
      </w:tr>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10:30~11:50</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rPr>
                <w:rFonts w:eastAsia="標楷體"/>
              </w:rPr>
            </w:pPr>
            <w:r>
              <w:rPr>
                <w:rFonts w:eastAsia="標楷體"/>
              </w:rPr>
              <w:t>探索任務的設計與實作</w:t>
            </w:r>
          </w:p>
        </w:tc>
        <w:tc>
          <w:tcPr>
            <w:tcW w:w="31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w:t>
            </w:r>
            <w:r>
              <w:rPr>
                <w:rFonts w:eastAsia="標楷體"/>
              </w:rPr>
              <w:t>國立自然科學博物館</w:t>
            </w:r>
            <w:r>
              <w:rPr>
                <w:rFonts w:eastAsia="標楷體"/>
              </w:rPr>
              <w:t>)</w:t>
            </w:r>
          </w:p>
        </w:tc>
      </w:tr>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12:00~13:30</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rPr>
                <w:rFonts w:eastAsia="標楷體"/>
              </w:rPr>
            </w:pPr>
            <w:r>
              <w:rPr>
                <w:rFonts w:eastAsia="標楷體"/>
              </w:rPr>
              <w:t>午餐時間</w:t>
            </w:r>
          </w:p>
        </w:tc>
        <w:tc>
          <w:tcPr>
            <w:tcW w:w="31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w:t>
            </w:r>
          </w:p>
        </w:tc>
      </w:tr>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eastAsia="標楷體"/>
              </w:rPr>
            </w:pPr>
            <w:r>
              <w:rPr>
                <w:rFonts w:eastAsia="標楷體"/>
              </w:rPr>
              <w:t>13:30~15:00</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both"/>
              <w:rPr>
                <w:rFonts w:eastAsia="標楷體"/>
              </w:rPr>
            </w:pPr>
            <w:r>
              <w:rPr>
                <w:rFonts w:eastAsia="標楷體"/>
              </w:rPr>
              <w:t>海洋環境教育活動體驗</w:t>
            </w:r>
          </w:p>
          <w:p>
            <w:pPr>
              <w:pStyle w:val="Style21"/>
              <w:jc w:val="both"/>
              <w:rPr>
                <w:rFonts w:eastAsia="標楷體"/>
              </w:rPr>
            </w:pPr>
            <w:r>
              <w:rPr>
                <w:rFonts w:eastAsia="標楷體"/>
              </w:rPr>
              <w:t>活動設計理念與執行原則介紹</w:t>
            </w:r>
          </w:p>
        </w:tc>
        <w:tc>
          <w:tcPr>
            <w:tcW w:w="313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jc w:val="center"/>
              <w:rPr>
                <w:rFonts w:eastAsia="標楷體"/>
              </w:rPr>
            </w:pPr>
            <w:r>
              <w:rPr>
                <w:rFonts w:eastAsia="標楷體"/>
              </w:rPr>
              <w:t>葉佳承博士</w:t>
            </w:r>
          </w:p>
          <w:p>
            <w:pPr>
              <w:pStyle w:val="Style21"/>
              <w:jc w:val="center"/>
              <w:rPr/>
            </w:pPr>
            <w:r>
              <w:rPr>
                <w:rStyle w:val="Style13"/>
                <w:rFonts w:eastAsia="標楷體"/>
              </w:rPr>
              <w:t>(</w:t>
            </w:r>
            <w:r>
              <w:rPr>
                <w:rStyle w:val="Style13"/>
                <w:rFonts w:eastAsia="標楷體"/>
                <w:szCs w:val="22"/>
              </w:rPr>
              <w:t>國立海洋科技博物館</w:t>
            </w:r>
            <w:r>
              <w:rPr>
                <w:rStyle w:val="Style13"/>
                <w:rFonts w:eastAsia="標楷體"/>
              </w:rPr>
              <w:t>)</w:t>
            </w:r>
          </w:p>
          <w:p>
            <w:pPr>
              <w:pStyle w:val="Style21"/>
              <w:jc w:val="center"/>
              <w:rPr>
                <w:rFonts w:eastAsia="標楷體"/>
              </w:rPr>
            </w:pPr>
            <w:r>
              <w:rPr>
                <w:rFonts w:eastAsia="標楷體"/>
              </w:rPr>
              <w:t xml:space="preserve"> </w:t>
            </w:r>
            <w:r>
              <w:rPr>
                <w:rFonts w:eastAsia="標楷體"/>
              </w:rPr>
              <w:t>協同教學人員</w:t>
            </w:r>
            <w:r>
              <w:rPr>
                <w:rFonts w:eastAsia="標楷體"/>
              </w:rPr>
              <w:t>2</w:t>
            </w:r>
            <w:r>
              <w:rPr>
                <w:rFonts w:eastAsia="標楷體"/>
              </w:rPr>
              <w:t>位</w:t>
            </w:r>
          </w:p>
        </w:tc>
      </w:tr>
      <w:tr>
        <w:trPr/>
        <w:tc>
          <w:tcPr>
            <w:tcW w:w="15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jc w:val="center"/>
              <w:rPr>
                <w:rFonts w:eastAsia="標楷體"/>
              </w:rPr>
            </w:pPr>
            <w:r>
              <w:rPr>
                <w:rFonts w:eastAsia="標楷體"/>
              </w:rPr>
              <w:t>15:10~16:10</w:t>
            </w:r>
          </w:p>
        </w:tc>
        <w:tc>
          <w:tcPr>
            <w:tcW w:w="4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1"/>
              <w:rPr>
                <w:rFonts w:eastAsia="標楷體"/>
              </w:rPr>
            </w:pPr>
            <w:r>
              <w:rPr>
                <w:rFonts w:eastAsia="標楷體"/>
              </w:rPr>
              <w:t>標本探索：鯊魚游進教室裡</w:t>
            </w:r>
          </w:p>
        </w:tc>
        <w:tc>
          <w:tcPr>
            <w:tcW w:w="313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rPr/>
            </w:pPr>
            <w:r>
              <w:rPr/>
            </w:r>
          </w:p>
        </w:tc>
      </w:tr>
    </w:tbl>
    <w:p>
      <w:pPr>
        <w:pStyle w:val="Style22"/>
        <w:rPr/>
      </w:pPr>
      <w:r>
        <w:rPr>
          <w:rStyle w:val="Style13"/>
          <w:rFonts w:ascii="新細明體" w:hAnsi="新細明體" w:cs="新細明體"/>
          <w:b/>
        </w:rPr>
        <w:t>◎</w:t>
      </w:r>
      <w:r>
        <w:rPr>
          <w:rStyle w:val="Style13"/>
          <w:rFonts w:ascii="Times New Roman" w:hAnsi="Times New Roman" w:eastAsia="標楷體"/>
          <w:b/>
        </w:rPr>
        <w:t>當日請於上午</w:t>
      </w:r>
      <w:r>
        <w:rPr>
          <w:rStyle w:val="Style13"/>
          <w:rFonts w:eastAsia="標楷體" w:ascii="Times New Roman" w:hAnsi="Times New Roman"/>
          <w:b/>
        </w:rPr>
        <w:t>8:20</w:t>
      </w:r>
      <w:r>
        <w:rPr>
          <w:rStyle w:val="Style13"/>
          <w:rFonts w:ascii="Times New Roman" w:hAnsi="Times New Roman" w:eastAsia="標楷體"/>
          <w:b/>
        </w:rPr>
        <w:t>至「捷運南港展覽館站</w:t>
      </w:r>
      <w:r>
        <w:rPr>
          <w:rStyle w:val="Style13"/>
          <w:rFonts w:eastAsia="標楷體" w:ascii="Times New Roman" w:hAnsi="Times New Roman"/>
          <w:b/>
        </w:rPr>
        <w:t>2</w:t>
      </w:r>
      <w:r>
        <w:rPr>
          <w:rStyle w:val="Style13"/>
          <w:rFonts w:ascii="Times New Roman" w:hAnsi="Times New Roman" w:eastAsia="標楷體"/>
          <w:b/>
        </w:rPr>
        <w:t>號出口」集合簽到，</w:t>
      </w:r>
      <w:r>
        <w:rPr>
          <w:rStyle w:val="Style13"/>
          <w:rFonts w:eastAsia="標楷體" w:ascii="Times New Roman" w:hAnsi="Times New Roman"/>
          <w:b/>
          <w:color w:val="FF0000"/>
          <w:u w:val="single"/>
        </w:rPr>
        <w:t>8:30</w:t>
      </w:r>
      <w:r>
        <w:rPr>
          <w:rStyle w:val="Style13"/>
          <w:rFonts w:ascii="Times New Roman" w:hAnsi="Times New Roman" w:eastAsia="標楷體"/>
          <w:b/>
          <w:color w:val="FF0000"/>
          <w:u w:val="single"/>
        </w:rPr>
        <w:t>準時出發</w:t>
      </w:r>
      <w:r>
        <w:rPr>
          <w:rStyle w:val="Style13"/>
          <w:rFonts w:ascii="Times New Roman" w:hAnsi="Times New Roman" w:eastAsia="標楷體"/>
          <w:b/>
        </w:rPr>
        <w:t>，逾時不候。</w:t>
      </w:r>
    </w:p>
    <w:p>
      <w:pPr>
        <w:pStyle w:val="Style22"/>
        <w:rPr>
          <w:rFonts w:ascii="Times New Roman" w:hAnsi="Times New Roman" w:eastAsia="標楷體"/>
        </w:rPr>
      </w:pPr>
      <w:r>
        <w:rPr>
          <w:rFonts w:eastAsia="標楷體" w:ascii="Times New Roman" w:hAnsi="Times New Roman"/>
        </w:rPr>
      </w:r>
    </w:p>
    <w:p>
      <w:pPr>
        <w:pStyle w:val="Style22"/>
        <w:numPr>
          <w:ilvl w:val="0"/>
          <w:numId w:val="2"/>
        </w:numPr>
        <w:rPr/>
      </w:pPr>
      <w:r>
        <w:rPr>
          <w:rStyle w:val="Style13"/>
          <w:rFonts w:ascii="Times New Roman" w:hAnsi="Times New Roman" w:eastAsia="標楷體"/>
          <w:b/>
        </w:rPr>
        <w:t>研習方式：</w:t>
      </w:r>
      <w:r>
        <w:rPr>
          <w:rStyle w:val="Style13"/>
          <w:rFonts w:ascii="Times New Roman" w:hAnsi="Times New Roman" w:eastAsia="標楷體"/>
        </w:rPr>
        <w:t>講授、實作和討論。</w:t>
      </w:r>
    </w:p>
    <w:p>
      <w:pPr>
        <w:pStyle w:val="Style21"/>
        <w:numPr>
          <w:ilvl w:val="0"/>
          <w:numId w:val="2"/>
        </w:numPr>
        <w:rPr>
          <w:rFonts w:eastAsia="標楷體"/>
          <w:b/>
          <w:b/>
          <w:szCs w:val="22"/>
        </w:rPr>
      </w:pPr>
      <w:r>
        <w:rPr>
          <w:rFonts w:eastAsia="標楷體"/>
          <w:b/>
          <w:szCs w:val="22"/>
        </w:rPr>
        <w:t>報名方式</w:t>
      </w:r>
    </w:p>
    <w:p>
      <w:pPr>
        <w:pStyle w:val="Style22"/>
        <w:numPr>
          <w:ilvl w:val="0"/>
          <w:numId w:val="4"/>
        </w:numPr>
        <w:rPr/>
      </w:pPr>
      <w:r>
        <w:rPr>
          <w:rStyle w:val="Style13"/>
          <w:rFonts w:ascii="Times New Roman" w:hAnsi="Times New Roman" w:eastAsia="標楷體"/>
        </w:rPr>
        <w:t>請於報名截止日前逕行登入臺北市教師在職研習網站</w:t>
      </w:r>
      <w:r>
        <w:rPr>
          <w:rStyle w:val="Style13"/>
          <w:rFonts w:eastAsia="標楷體" w:ascii="Times New Roman" w:hAnsi="Times New Roman"/>
        </w:rPr>
        <w:t>(</w:t>
      </w:r>
      <w:hyperlink r:id="rId2" w:tgtFrame="_top">
        <w:r>
          <w:rPr>
            <w:rStyle w:val="Style17"/>
            <w:rFonts w:eastAsia="標楷體" w:ascii="Times New Roman" w:hAnsi="Times New Roman"/>
            <w:color w:val="auto"/>
            <w:u w:val="none"/>
          </w:rPr>
          <w:t>http://insc.tp.edu.tw)</w:t>
        </w:r>
        <w:r>
          <w:rPr>
            <w:rStyle w:val="Style17"/>
            <w:rFonts w:ascii="Times New Roman" w:hAnsi="Times New Roman" w:eastAsia="標楷體"/>
            <w:color w:val="auto"/>
            <w:u w:val="none"/>
          </w:rPr>
          <w:t>報名，並列印報</w:t>
        </w:r>
      </w:hyperlink>
      <w:r>
        <w:rPr>
          <w:rStyle w:val="Style13"/>
          <w:rFonts w:ascii="Times New Roman" w:hAnsi="Times New Roman" w:eastAsia="標楷體"/>
        </w:rPr>
        <w:t>名表經行政程序核准後，再由貴機關</w:t>
      </w:r>
      <w:r>
        <w:rPr>
          <w:rStyle w:val="Style13"/>
          <w:rFonts w:eastAsia="標楷體" w:ascii="Times New Roman" w:hAnsi="Times New Roman"/>
        </w:rPr>
        <w:t>(</w:t>
      </w:r>
      <w:r>
        <w:rPr>
          <w:rStyle w:val="Style13"/>
          <w:rFonts w:ascii="Times New Roman" w:hAnsi="Times New Roman" w:eastAsia="標楷體"/>
        </w:rPr>
        <w:t>學校</w:t>
      </w:r>
      <w:r>
        <w:rPr>
          <w:rStyle w:val="Style13"/>
          <w:rFonts w:eastAsia="標楷體" w:ascii="Times New Roman" w:hAnsi="Times New Roman"/>
        </w:rPr>
        <w:t>)</w:t>
      </w:r>
      <w:r>
        <w:rPr>
          <w:rStyle w:val="Style13"/>
          <w:rFonts w:ascii="Times New Roman" w:hAnsi="Times New Roman" w:eastAsia="標楷體"/>
        </w:rPr>
        <w:t>研習承辦人進入系統辦理薦派報名。</w:t>
      </w:r>
    </w:p>
    <w:p>
      <w:pPr>
        <w:pStyle w:val="Style22"/>
        <w:numPr>
          <w:ilvl w:val="0"/>
          <w:numId w:val="4"/>
        </w:numPr>
        <w:rPr>
          <w:rFonts w:ascii="Times New Roman" w:hAnsi="Times New Roman" w:eastAsia="標楷體"/>
        </w:rPr>
      </w:pPr>
      <w:r>
        <w:rPr>
          <w:rFonts w:ascii="Times New Roman" w:hAnsi="Times New Roman" w:eastAsia="標楷體"/>
        </w:rPr>
        <w:t>本研習於報名截止後</w:t>
      </w:r>
      <w:r>
        <w:rPr>
          <w:rFonts w:eastAsia="標楷體" w:ascii="Times New Roman" w:hAnsi="Times New Roman"/>
        </w:rPr>
        <w:t>3</w:t>
      </w:r>
      <w:r>
        <w:rPr>
          <w:rFonts w:ascii="Times New Roman" w:hAnsi="Times New Roman" w:eastAsia="標楷體"/>
        </w:rPr>
        <w:t>日內公布研習名單</w:t>
      </w:r>
      <w:r>
        <w:rPr>
          <w:rFonts w:eastAsia="標楷體" w:ascii="Times New Roman" w:hAnsi="Times New Roman"/>
        </w:rPr>
        <w:t>(</w:t>
      </w:r>
      <w:r>
        <w:rPr>
          <w:rFonts w:ascii="Times New Roman" w:hAnsi="Times New Roman" w:eastAsia="標楷體"/>
        </w:rPr>
        <w:t>以各研習員於教師在職研習網中登錄之電子郵件信箱通知</w:t>
      </w:r>
      <w:r>
        <w:rPr>
          <w:rFonts w:eastAsia="標楷體" w:ascii="Times New Roman" w:hAnsi="Times New Roman"/>
        </w:rPr>
        <w:t>)</w:t>
      </w:r>
      <w:r>
        <w:rPr>
          <w:rFonts w:ascii="Times New Roman" w:hAnsi="Times New Roman" w:eastAsia="標楷體"/>
        </w:rPr>
        <w:t>，請自行列印研習通知並準時參加研習。</w:t>
      </w:r>
    </w:p>
    <w:p>
      <w:pPr>
        <w:pStyle w:val="Style21"/>
        <w:ind w:left="709" w:hanging="709"/>
        <w:rPr/>
      </w:pPr>
      <w:r>
        <w:rPr>
          <w:rStyle w:val="Style13"/>
          <w:rFonts w:eastAsia="標楷體"/>
          <w:b/>
          <w:szCs w:val="22"/>
        </w:rPr>
        <w:t>十一、研習時數：</w:t>
      </w:r>
      <w:r>
        <w:rPr>
          <w:rStyle w:val="Style13"/>
          <w:rFonts w:eastAsia="標楷體"/>
          <w:szCs w:val="22"/>
        </w:rPr>
        <w:t>全程參與者核發</w:t>
      </w:r>
      <w:r>
        <w:rPr>
          <w:rStyle w:val="Style13"/>
          <w:rFonts w:eastAsia="標楷體"/>
          <w:szCs w:val="22"/>
        </w:rPr>
        <w:t>6</w:t>
      </w:r>
      <w:r>
        <w:rPr>
          <w:rStyle w:val="Style13"/>
          <w:rFonts w:eastAsia="標楷體"/>
          <w:szCs w:val="22"/>
        </w:rPr>
        <w:t>小時研習時數，請假時數超過研習總時數之五分之一（</w:t>
      </w:r>
      <w:r>
        <w:rPr>
          <w:rStyle w:val="Style13"/>
          <w:rFonts w:eastAsia="標楷體"/>
          <w:szCs w:val="22"/>
        </w:rPr>
        <w:t>1</w:t>
      </w:r>
      <w:r>
        <w:rPr>
          <w:rStyle w:val="Style13"/>
          <w:rFonts w:eastAsia="標楷體"/>
          <w:szCs w:val="22"/>
        </w:rPr>
        <w:t>小時）者，不給予研習時數。</w:t>
      </w:r>
    </w:p>
    <w:p>
      <w:pPr>
        <w:pStyle w:val="Style21"/>
        <w:numPr>
          <w:ilvl w:val="0"/>
          <w:numId w:val="5"/>
        </w:numPr>
        <w:rPr>
          <w:rFonts w:eastAsia="標楷體"/>
          <w:b/>
          <w:b/>
          <w:szCs w:val="22"/>
        </w:rPr>
      </w:pPr>
      <w:r>
        <w:rPr>
          <w:rFonts w:eastAsia="標楷體"/>
          <w:b/>
          <w:szCs w:val="22"/>
        </w:rPr>
        <w:t>注意事項</w:t>
      </w:r>
    </w:p>
    <w:p>
      <w:pPr>
        <w:pStyle w:val="Style22"/>
        <w:numPr>
          <w:ilvl w:val="0"/>
          <w:numId w:val="6"/>
        </w:numPr>
        <w:rPr/>
      </w:pPr>
      <w:r>
        <w:rPr>
          <w:rStyle w:val="Style13"/>
          <w:rFonts w:ascii="Times New Roman" w:hAnsi="Times New Roman" w:eastAsia="標楷體"/>
          <w:b/>
          <w:color w:val="0000FF"/>
          <w:u w:val="single"/>
        </w:rPr>
        <w:t>課程當日請著輕便衣鞋並帶長袖外套備用，另請自備水杯、筆記本及筆。</w:t>
      </w:r>
    </w:p>
    <w:p>
      <w:pPr>
        <w:pStyle w:val="Style22"/>
        <w:numPr>
          <w:ilvl w:val="0"/>
          <w:numId w:val="6"/>
        </w:numPr>
        <w:rPr>
          <w:rFonts w:ascii="Times New Roman" w:hAnsi="Times New Roman" w:eastAsia="標楷體"/>
        </w:rPr>
      </w:pPr>
      <w:r>
        <w:rPr>
          <w:rFonts w:ascii="Times New Roman" w:hAnsi="Times New Roman" w:eastAsia="標楷體"/>
        </w:rPr>
        <w:t>依照報名順序優先錄取</w:t>
      </w:r>
      <w:r>
        <w:rPr>
          <w:rFonts w:eastAsia="標楷體" w:ascii="Times New Roman" w:hAnsi="Times New Roman"/>
        </w:rPr>
        <w:t>(</w:t>
      </w:r>
      <w:r>
        <w:rPr>
          <w:rFonts w:ascii="Times New Roman" w:hAnsi="Times New Roman" w:eastAsia="標楷體"/>
        </w:rPr>
        <w:t>學校需在報名截止日前完成薦派報名作業</w:t>
      </w:r>
      <w:r>
        <w:rPr>
          <w:rFonts w:eastAsia="標楷體" w:ascii="Times New Roman" w:hAnsi="Times New Roman"/>
        </w:rPr>
        <w:t>)</w:t>
      </w:r>
      <w:r>
        <w:rPr>
          <w:rFonts w:ascii="Times New Roman" w:hAnsi="Times New Roman" w:eastAsia="標楷體"/>
        </w:rPr>
        <w:t>，如報名踴躍而致額滿，      本中心得提前截止報名。</w:t>
      </w:r>
    </w:p>
    <w:p>
      <w:pPr>
        <w:pStyle w:val="Style22"/>
        <w:numPr>
          <w:ilvl w:val="0"/>
          <w:numId w:val="6"/>
        </w:numPr>
        <w:rPr/>
      </w:pPr>
      <w:r>
        <w:rPr>
          <w:rStyle w:val="Style13"/>
          <w:rFonts w:ascii="Times New Roman" w:hAnsi="Times New Roman" w:eastAsia="標楷體"/>
          <w:highlight w:val="white"/>
        </w:rPr>
        <w:t>為維護研習品質、精確掌握用餐、講義印製份數及參加研習教師權益，請學校務必依照報名    程序完成薦派</w:t>
      </w:r>
      <w:r>
        <w:rPr>
          <w:rStyle w:val="Style13"/>
          <w:rFonts w:eastAsia="標楷體" w:ascii="Times New Roman" w:hAnsi="Times New Roman"/>
          <w:highlight w:val="white"/>
        </w:rPr>
        <w:t>(</w:t>
      </w:r>
      <w:r>
        <w:rPr>
          <w:rStyle w:val="Style13"/>
          <w:rFonts w:ascii="Times New Roman" w:hAnsi="Times New Roman" w:eastAsia="標楷體"/>
          <w:highlight w:val="white"/>
        </w:rPr>
        <w:t>恕不接受現場報名</w:t>
      </w:r>
      <w:r>
        <w:rPr>
          <w:rStyle w:val="Style13"/>
          <w:rFonts w:eastAsia="標楷體" w:ascii="Times New Roman" w:hAnsi="Times New Roman"/>
          <w:highlight w:val="white"/>
        </w:rPr>
        <w:t>)</w:t>
      </w:r>
      <w:r>
        <w:rPr>
          <w:rStyle w:val="Style13"/>
          <w:rFonts w:ascii="Times New Roman" w:hAnsi="Times New Roman" w:eastAsia="標楷體"/>
          <w:highlight w:val="white"/>
        </w:rPr>
        <w:t>。</w:t>
      </w:r>
    </w:p>
    <w:p>
      <w:pPr>
        <w:pStyle w:val="Style22"/>
        <w:numPr>
          <w:ilvl w:val="0"/>
          <w:numId w:val="6"/>
        </w:numPr>
        <w:rPr/>
      </w:pPr>
      <w:r>
        <w:rPr>
          <w:rStyle w:val="Style13"/>
          <w:rFonts w:ascii="Times New Roman" w:hAnsi="Times New Roman" w:eastAsia="標楷體"/>
          <w:highlight w:val="white"/>
        </w:rPr>
        <w:t>完成報名程序之研習員，倘因特殊緊急事件無法參加者，應於研習前</w:t>
      </w:r>
      <w:r>
        <w:rPr>
          <w:rStyle w:val="Style13"/>
          <w:rFonts w:eastAsia="標楷體" w:ascii="Times New Roman" w:hAnsi="Times New Roman"/>
          <w:highlight w:val="white"/>
        </w:rPr>
        <w:t>3</w:t>
      </w:r>
      <w:r>
        <w:rPr>
          <w:rStyle w:val="Style13"/>
          <w:rFonts w:ascii="Times New Roman" w:hAnsi="Times New Roman" w:eastAsia="標楷體"/>
          <w:highlight w:val="white"/>
        </w:rPr>
        <w:t>日告悉本中心，並依    程序辦理取消研習，如因不可抗力因素無法出席者，應於</w:t>
      </w:r>
      <w:r>
        <w:rPr>
          <w:rStyle w:val="Style13"/>
          <w:rFonts w:eastAsia="標楷體" w:ascii="Times New Roman" w:hAnsi="Times New Roman"/>
          <w:highlight w:val="white"/>
        </w:rPr>
        <w:t>3</w:t>
      </w:r>
      <w:r>
        <w:rPr>
          <w:rStyle w:val="Style13"/>
          <w:rFonts w:ascii="Times New Roman" w:hAnsi="Times New Roman" w:eastAsia="標楷體"/>
          <w:highlight w:val="white"/>
        </w:rPr>
        <w:t>天內提出具體事由填具請假單</w:t>
      </w:r>
      <w:r>
        <w:rPr>
          <w:rStyle w:val="Style13"/>
          <w:rFonts w:eastAsia="標楷體" w:ascii="Times New Roman" w:hAnsi="Times New Roman"/>
          <w:highlight w:val="white"/>
        </w:rPr>
        <w:t>(</w:t>
      </w:r>
      <w:r>
        <w:rPr>
          <w:rStyle w:val="Style13"/>
          <w:rFonts w:ascii="Times New Roman" w:hAnsi="Times New Roman" w:eastAsia="標楷體"/>
          <w:highlight w:val="white"/>
        </w:rPr>
        <w:t>可    由臺北市教師在職研習網下載</w:t>
      </w:r>
      <w:r>
        <w:rPr>
          <w:rStyle w:val="Style13"/>
          <w:rFonts w:eastAsia="標楷體" w:ascii="Times New Roman" w:hAnsi="Times New Roman"/>
          <w:highlight w:val="white"/>
        </w:rPr>
        <w:t>)</w:t>
      </w:r>
      <w:r>
        <w:rPr>
          <w:rStyle w:val="Style13"/>
          <w:rFonts w:ascii="Times New Roman" w:hAnsi="Times New Roman" w:eastAsia="標楷體"/>
          <w:highlight w:val="white"/>
        </w:rPr>
        <w:t>，回覆本中心方完成請假程序，逾期仍以無故缺席登計。</w:t>
      </w:r>
    </w:p>
    <w:p>
      <w:pPr>
        <w:pStyle w:val="Style22"/>
        <w:numPr>
          <w:ilvl w:val="0"/>
          <w:numId w:val="6"/>
        </w:numPr>
        <w:snapToGrid w:val="false"/>
        <w:spacing w:lineRule="exact" w:line="400"/>
        <w:ind w:left="706" w:hanging="442"/>
        <w:jc w:val="both"/>
        <w:rPr>
          <w:rFonts w:ascii="Times New Roman" w:hAnsi="Times New Roman" w:eastAsia="標楷體"/>
          <w:highlight w:val="white"/>
        </w:rPr>
      </w:pPr>
      <w:r>
        <w:rPr>
          <w:rFonts w:ascii="Times New Roman" w:hAnsi="Times New Roman" w:eastAsia="標楷體"/>
          <w:highlight w:val="white"/>
        </w:rPr>
        <w:t>為珍惜教育資源，經報名錄取人員不得無故缺席，如無故不出席亦未請假累計達三次者，將   於「臺北市教師在職研習網」系統上暫停該員報名本中心各研習班之權利三個月。</w:t>
      </w:r>
    </w:p>
    <w:p>
      <w:pPr>
        <w:pStyle w:val="Style22"/>
        <w:numPr>
          <w:ilvl w:val="0"/>
          <w:numId w:val="5"/>
        </w:numPr>
        <w:spacing w:lineRule="exact" w:line="360"/>
        <w:rPr/>
      </w:pPr>
      <w:r>
        <w:rPr>
          <w:rStyle w:val="Style13"/>
          <w:rFonts w:ascii="Times New Roman" w:hAnsi="Times New Roman" w:eastAsia="標楷體"/>
          <w:b/>
        </w:rPr>
        <w:t>聯絡方式：</w:t>
      </w:r>
      <w:r>
        <w:rPr>
          <w:rStyle w:val="Style13"/>
          <w:rFonts w:ascii="Times New Roman" w:hAnsi="Times New Roman" w:eastAsia="標楷體"/>
        </w:rPr>
        <w:t>彭敬雅組員，電話：</w:t>
      </w:r>
      <w:r>
        <w:rPr>
          <w:rStyle w:val="Style13"/>
          <w:rFonts w:eastAsia="標楷體" w:ascii="Times New Roman" w:hAnsi="Times New Roman"/>
        </w:rPr>
        <w:t>2861-6942</w:t>
      </w:r>
      <w:r>
        <w:rPr>
          <w:rStyle w:val="Style13"/>
          <w:rFonts w:ascii="Times New Roman" w:hAnsi="Times New Roman" w:eastAsia="標楷體"/>
        </w:rPr>
        <w:t>轉</w:t>
      </w:r>
      <w:r>
        <w:rPr>
          <w:rStyle w:val="Style13"/>
          <w:rFonts w:eastAsia="標楷體" w:ascii="Times New Roman" w:hAnsi="Times New Roman"/>
        </w:rPr>
        <w:t>215</w:t>
      </w:r>
      <w:r>
        <w:rPr>
          <w:rStyle w:val="Style13"/>
          <w:rFonts w:ascii="Times New Roman" w:hAnsi="Times New Roman" w:eastAsia="標楷體"/>
        </w:rPr>
        <w:t>；傳真：</w:t>
      </w:r>
      <w:r>
        <w:rPr>
          <w:rStyle w:val="Style13"/>
          <w:rFonts w:eastAsia="標楷體" w:ascii="Times New Roman" w:hAnsi="Times New Roman"/>
        </w:rPr>
        <w:t>2861-6702</w:t>
      </w:r>
      <w:r>
        <w:rPr>
          <w:rStyle w:val="Style13"/>
          <w:rFonts w:ascii="Times New Roman" w:hAnsi="Times New Roman" w:eastAsia="標楷體"/>
        </w:rPr>
        <w:t>；</w:t>
      </w:r>
    </w:p>
    <w:p>
      <w:pPr>
        <w:pStyle w:val="Style21"/>
        <w:rPr/>
      </w:pPr>
      <w:r>
        <w:rPr>
          <w:rStyle w:val="Style13"/>
          <w:rFonts w:eastAsia="標楷體"/>
        </w:rPr>
        <w:t xml:space="preserve">                            </w:t>
      </w:r>
      <w:r>
        <w:rPr>
          <w:rStyle w:val="Style13"/>
          <w:rFonts w:eastAsia="標楷體"/>
        </w:rPr>
        <w:t>電子信箱：</w:t>
      </w:r>
      <w:r>
        <w:rPr>
          <w:rStyle w:val="Style17"/>
          <w:rFonts w:eastAsia="標楷體"/>
          <w:color w:val="auto"/>
          <w:u w:val="none"/>
        </w:rPr>
        <w:t>pchingya84@gmail.com</w:t>
      </w:r>
    </w:p>
    <w:p>
      <w:pPr>
        <w:pStyle w:val="Style21"/>
        <w:numPr>
          <w:ilvl w:val="0"/>
          <w:numId w:val="5"/>
        </w:numPr>
        <w:rPr/>
      </w:pPr>
      <w:r>
        <w:rPr>
          <w:rStyle w:val="Style13"/>
          <w:rFonts w:eastAsia="標楷體"/>
          <w:b/>
          <w:szCs w:val="22"/>
        </w:rPr>
        <w:t>研習經費：</w:t>
      </w:r>
      <w:r>
        <w:rPr>
          <w:rStyle w:val="Style13"/>
          <w:rFonts w:eastAsia="標楷體"/>
          <w:szCs w:val="22"/>
        </w:rPr>
        <w:t>由本中心相關研習經費項下支應。</w:t>
      </w:r>
    </w:p>
    <w:p>
      <w:pPr>
        <w:pStyle w:val="Style21"/>
        <w:numPr>
          <w:ilvl w:val="0"/>
          <w:numId w:val="5"/>
        </w:numPr>
        <w:snapToGrid w:val="false"/>
        <w:rPr/>
      </w:pPr>
      <w:r>
        <w:rPr>
          <w:rStyle w:val="Style13"/>
          <w:rFonts w:eastAsia="標楷體"/>
          <w:b/>
        </w:rPr>
        <w:t>其    他：</w:t>
      </w:r>
      <w:r>
        <w:rPr>
          <w:rStyle w:val="Style13"/>
          <w:rFonts w:eastAsia="標楷體"/>
        </w:rPr>
        <w:t>本研習計畫陳奉本中心主任核可後實施，修正時亦同。</w:t>
      </w:r>
    </w:p>
    <w:p>
      <w:pPr>
        <w:pStyle w:val="Style21"/>
        <w:widowControl/>
        <w:rPr>
          <w:rFonts w:eastAsia="標楷體"/>
          <w:b/>
          <w:b/>
          <w:szCs w:val="22"/>
        </w:rPr>
      </w:pPr>
      <w:r>
        <w:rPr>
          <w:rFonts w:eastAsia="標楷體"/>
          <w:b/>
          <w:szCs w:val="22"/>
        </w:rPr>
      </w:r>
    </w:p>
    <w:sectPr>
      <w:footerReference w:type="default" r:id="rId3"/>
      <w:type w:val="nextPage"/>
      <w:pgSz w:w="11906" w:h="16838"/>
      <w:pgMar w:left="720" w:right="720" w:header="0" w:top="851" w:footer="992" w:bottom="720"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新細明體">
    <w:charset w:val="88"/>
    <w:family w:val="roman"/>
    <w:pitch w:val="variable"/>
  </w:font>
  <w:font w:name="Cambria">
    <w:charset w:val="88"/>
    <w:family w:val="roman"/>
    <w:pitch w:val="variable"/>
  </w:font>
  <w:font w:name="Times New Roman">
    <w:charset w:val="88"/>
    <w:family w:val="roman"/>
    <w:pitch w:val="variable"/>
  </w:font>
  <w:font w:name="標楷體">
    <w:charset w:val="88"/>
    <w:family w:val="script"/>
    <w:pitch w:val="fixed"/>
  </w:font>
  <w:font w:name="Liberation Sans">
    <w:altName w:val="Arial"/>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Style w:val="Style13"/>
        <w:lang w:val="zh-TW"/>
      </w:rPr>
      <w:fldChar w:fldCharType="begin"/>
    </w:r>
    <w:r>
      <w:instrText> PAGE </w:instrText>
    </w:r>
    <w:r>
      <w:fldChar w:fldCharType="separate"/>
    </w:r>
    <w:r>
      <w:t>3</w:t>
    </w:r>
    <w:r>
      <w:fldChar w:fldCharType="end"/>
    </w:r>
  </w:p>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suff w:val="nothing"/>
      <w:lvlText w:val="%1、"/>
      <w:lvlJc w:val="left"/>
      <w:pPr>
        <w:ind w:left="480" w:hanging="480"/>
      </w:pPr>
      <w:rPr>
        <w:b/>
        <w:rFonts w:ascii="標楷體" w:hAnsi="標楷體" w:eastAsia="標楷體"/>
        <w:color w:val="auto"/>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942" w:hanging="480"/>
      </w:pPr>
      <w:rPr>
        <w:rFonts w:ascii="標楷體" w:hAnsi="標楷體" w:eastAsia="標楷體"/>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4">
    <w:lvl w:ilvl="0">
      <w:start w:val="1"/>
      <w:numFmt w:val="decimal"/>
      <w:lvlText w:val="(%1)"/>
      <w:lvlJc w:val="left"/>
      <w:pPr>
        <w:ind w:left="706" w:hanging="480"/>
      </w:pPr>
    </w:lvl>
    <w:lvl w:ilvl="1">
      <w:start w:val="1"/>
      <w:numFmt w:val="ideographTraditional"/>
      <w:lvlText w:val="%2、"/>
      <w:lvlJc w:val="left"/>
      <w:pPr>
        <w:ind w:left="1186" w:hanging="480"/>
      </w:pPr>
    </w:lvl>
    <w:lvl w:ilvl="2">
      <w:start w:val="1"/>
      <w:numFmt w:val="lowerRoman"/>
      <w:lvlText w:val="%3."/>
      <w:lvlJc w:val="right"/>
      <w:pPr>
        <w:ind w:left="1666" w:hanging="480"/>
      </w:pPr>
    </w:lvl>
    <w:lvl w:ilvl="3">
      <w:start w:val="1"/>
      <w:numFmt w:val="decimal"/>
      <w:lvlText w:val="%4."/>
      <w:lvlJc w:val="left"/>
      <w:pPr>
        <w:ind w:left="2146" w:hanging="480"/>
      </w:pPr>
    </w:lvl>
    <w:lvl w:ilvl="4">
      <w:start w:val="1"/>
      <w:numFmt w:val="ideographTraditional"/>
      <w:lvlText w:val="%5、"/>
      <w:lvlJc w:val="left"/>
      <w:pPr>
        <w:ind w:left="2626" w:hanging="480"/>
      </w:pPr>
    </w:lvl>
    <w:lvl w:ilvl="5">
      <w:start w:val="1"/>
      <w:numFmt w:val="lowerRoman"/>
      <w:lvlText w:val="%6."/>
      <w:lvlJc w:val="right"/>
      <w:pPr>
        <w:ind w:left="3106" w:hanging="480"/>
      </w:pPr>
    </w:lvl>
    <w:lvl w:ilvl="6">
      <w:start w:val="1"/>
      <w:numFmt w:val="decimal"/>
      <w:lvlText w:val="%7."/>
      <w:lvlJc w:val="left"/>
      <w:pPr>
        <w:ind w:left="3586" w:hanging="480"/>
      </w:pPr>
    </w:lvl>
    <w:lvl w:ilvl="7">
      <w:start w:val="1"/>
      <w:numFmt w:val="ideographTraditional"/>
      <w:lvlText w:val="%8、"/>
      <w:lvlJc w:val="left"/>
      <w:pPr>
        <w:ind w:left="4066" w:hanging="480"/>
      </w:pPr>
    </w:lvl>
    <w:lvl w:ilvl="8">
      <w:start w:val="1"/>
      <w:numFmt w:val="lowerRoman"/>
      <w:lvlText w:val="%9."/>
      <w:lvlJc w:val="right"/>
      <w:pPr>
        <w:ind w:left="4546" w:hanging="480"/>
      </w:pPr>
    </w:lvl>
  </w:abstractNum>
  <w:abstractNum w:abstractNumId="5">
    <w:lvl w:ilvl="0">
      <w:start w:val="12"/>
      <w:numFmt w:val="decimal"/>
      <w:suff w:val="nothing"/>
      <w:lvlText w:val="%1、"/>
      <w:lvlJc w:val="left"/>
      <w:pPr>
        <w:ind w:left="480" w:hanging="480"/>
      </w:pPr>
      <w:rPr>
        <w:b/>
        <w:rFonts w:ascii="標楷體" w:hAnsi="標楷體" w:eastAsia="標楷體"/>
        <w:color w:val="auto"/>
      </w:rPr>
    </w:lvl>
    <w:lvl w:ilvl="1">
      <w:start w:val="1"/>
      <w:numFmt w:val="decimal"/>
      <w:lvlText w:val="(%2)"/>
      <w:lvlJc w:val="left"/>
      <w:pPr>
        <w:ind w:left="501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lvl w:ilvl="0">
      <w:start w:val="1"/>
      <w:numFmt w:val="decimal"/>
      <w:lvlText w:val="(%1)"/>
      <w:lvlJc w:val="left"/>
      <w:pPr>
        <w:ind w:left="735" w:hanging="480"/>
      </w:pPr>
      <w:rPr>
        <w:rFonts w:ascii="標楷體" w:hAnsi="標楷體" w:eastAsia="標楷體"/>
      </w:rPr>
    </w:lvl>
    <w:lvl w:ilvl="1">
      <w:start w:val="1"/>
      <w:numFmt w:val="decimal"/>
      <w:lvlText w:val="%2."/>
      <w:lvlJc w:val="left"/>
      <w:pPr>
        <w:ind w:left="1095" w:hanging="36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keepLines w:val="false"/>
      <w:pageBreakBefore w:val="false"/>
      <w:widowControl/>
      <w:pBdr/>
      <w:shd w:fill="FFFFFF"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2"/>
      <w:u w:val="none"/>
      <w:vertAlign w:val="baseline"/>
      <w:em w:val="none"/>
      <w:lang w:val="en-US" w:eastAsia="zh-TW" w:bidi="ar-SA"/>
    </w:rPr>
  </w:style>
  <w:style w:type="paragraph" w:styleId="3">
    <w:name w:val="Heading 3"/>
    <w:basedOn w:val="Style21"/>
    <w:qFormat/>
    <w:pPr>
      <w:widowControl/>
      <w:numPr>
        <w:ilvl w:val="2"/>
        <w:numId w:val="1"/>
      </w:numPr>
      <w:suppressAutoHyphens w:val="true"/>
      <w:spacing w:before="100" w:after="100"/>
      <w:outlineLvl w:val="2"/>
      <w:outlineLvl w:val="2"/>
    </w:pPr>
    <w:rPr>
      <w:rFonts w:ascii="新細明體" w:hAnsi="新細明體" w:cs="新細明體"/>
      <w:b/>
      <w:bCs/>
      <w:sz w:val="27"/>
      <w:szCs w:val="27"/>
    </w:rPr>
  </w:style>
  <w:style w:type="character" w:styleId="Style13">
    <w:name w:val="預設段落字型"/>
    <w:qFormat/>
    <w:rPr/>
  </w:style>
  <w:style w:type="character" w:styleId="31">
    <w:name w:val="標題 3 字元"/>
    <w:basedOn w:val="Style13"/>
    <w:qFormat/>
    <w:rPr>
      <w:rFonts w:ascii="新細明體" w:hAnsi="新細明體" w:eastAsia="新細明體" w:cs="新細明體"/>
      <w:b/>
      <w:bCs/>
      <w:sz w:val="27"/>
      <w:szCs w:val="27"/>
    </w:rPr>
  </w:style>
  <w:style w:type="character" w:styleId="Style14">
    <w:name w:val="註解方塊文字 字元"/>
    <w:basedOn w:val="Style13"/>
    <w:qFormat/>
    <w:rPr>
      <w:rFonts w:ascii="Cambria" w:hAnsi="Cambria" w:eastAsia="新細明體" w:cs="Times New Roman"/>
      <w:sz w:val="18"/>
      <w:szCs w:val="18"/>
    </w:rPr>
  </w:style>
  <w:style w:type="character" w:styleId="Style15">
    <w:name w:val="頁首 字元"/>
    <w:basedOn w:val="Style13"/>
    <w:qFormat/>
    <w:rPr>
      <w:rFonts w:ascii="Times New Roman" w:hAnsi="Times New Roman" w:eastAsia="新細明體" w:cs="Times New Roman"/>
      <w:sz w:val="20"/>
      <w:szCs w:val="20"/>
    </w:rPr>
  </w:style>
  <w:style w:type="character" w:styleId="Style16">
    <w:name w:val="頁尾 字元"/>
    <w:basedOn w:val="Style13"/>
    <w:qFormat/>
    <w:rPr>
      <w:rFonts w:ascii="Times New Roman" w:hAnsi="Times New Roman" w:eastAsia="新細明體" w:cs="Times New Roman"/>
      <w:sz w:val="20"/>
      <w:szCs w:val="20"/>
    </w:rPr>
  </w:style>
  <w:style w:type="character" w:styleId="Style17">
    <w:name w:val="超連結"/>
    <w:basedOn w:val="Style13"/>
    <w:qFormat/>
    <w:rPr>
      <w:color w:val="0000FF"/>
      <w:u w:val="single"/>
    </w:rPr>
  </w:style>
  <w:style w:type="character" w:styleId="WWCharLFO1LVL1">
    <w:name w:val="WW_CharLFO1LVL1"/>
    <w:qFormat/>
    <w:rPr>
      <w:rFonts w:ascii="標楷體" w:hAnsi="標楷體" w:eastAsia="標楷體"/>
      <w:b/>
      <w:color w:val="auto"/>
      <w:lang w:val="en-US"/>
    </w:rPr>
  </w:style>
  <w:style w:type="character" w:styleId="WWCharLFO2LVL1">
    <w:name w:val="WW_CharLFO2LVL1"/>
    <w:qFormat/>
    <w:rPr>
      <w:rFonts w:ascii="標楷體" w:hAnsi="標楷體" w:eastAsia="標楷體"/>
    </w:rPr>
  </w:style>
  <w:style w:type="character" w:styleId="WWCharLFO4LVL1">
    <w:name w:val="WW_CharLFO4LVL1"/>
    <w:qFormat/>
    <w:rPr>
      <w:rFonts w:ascii="標楷體" w:hAnsi="標楷體" w:eastAsia="標楷體"/>
      <w:b/>
      <w:color w:val="auto"/>
    </w:rPr>
  </w:style>
  <w:style w:type="character" w:styleId="WWCharLFO5LVL1">
    <w:name w:val="WW_CharLFO5LVL1"/>
    <w:qFormat/>
    <w:rPr>
      <w:rFonts w:ascii="標楷體" w:hAnsi="標楷體" w:eastAsia="標楷體"/>
    </w:rPr>
  </w:style>
  <w:style w:type="character" w:styleId="Style18">
    <w:name w:val="網際網路連結"/>
    <w:rPr>
      <w:color w:val="000080"/>
      <w:u w:val="single"/>
      <w:lang w:val="zxx" w:eastAsia="zxx" w:bidi="zxx"/>
    </w:rPr>
  </w:style>
  <w:style w:type="character" w:styleId="Style19">
    <w:name w:val="訪問過的網際網路連結"/>
    <w:rPr>
      <w:color w:val="800000"/>
      <w:u w:val="single"/>
      <w:lang w:val="zxx" w:eastAsia="zxx" w:bidi="zxx"/>
    </w:rPr>
  </w:style>
  <w:style w:type="paragraph" w:styleId="Style20">
    <w:name w:val="標題"/>
    <w:basedOn w:val="Normal"/>
    <w:next w:val="Style21"/>
    <w:qFormat/>
    <w:pPr>
      <w:keepNext/>
      <w:spacing w:before="240" w:after="120"/>
    </w:pPr>
    <w:rPr>
      <w:rFonts w:ascii="Liberation Sans" w:hAnsi="Liberation Sans" w:eastAsia="微軟正黑體" w:cs="Tahoma"/>
      <w:sz w:val="28"/>
      <w:szCs w:val="28"/>
    </w:rPr>
  </w:style>
  <w:style w:type="paragraph" w:styleId="Style21">
    <w:name w:val="Body Tex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en-US" w:eastAsia="zh-TW" w:bidi="ar-SA"/>
    </w:rPr>
  </w:style>
  <w:style w:type="paragraph" w:styleId="Style22">
    <w:name w:val="清單段落"/>
    <w:basedOn w:val="Style21"/>
    <w:qFormat/>
    <w:pPr>
      <w:suppressAutoHyphens w:val="true"/>
      <w:ind w:left="480" w:hanging="0"/>
    </w:pPr>
    <w:rPr>
      <w:rFonts w:ascii="Calibri" w:hAnsi="Calibri"/>
      <w:szCs w:val="22"/>
    </w:rPr>
  </w:style>
  <w:style w:type="paragraph" w:styleId="Style23">
    <w:name w:val="註解方塊文字"/>
    <w:basedOn w:val="Style21"/>
    <w:qFormat/>
    <w:pPr>
      <w:suppressAutoHyphens w:val="true"/>
    </w:pPr>
    <w:rPr>
      <w:rFonts w:ascii="Cambria" w:hAnsi="Cambria"/>
      <w:sz w:val="18"/>
      <w:szCs w:val="18"/>
    </w:rPr>
  </w:style>
  <w:style w:type="paragraph" w:styleId="Style24">
    <w:name w:val="Header"/>
    <w:basedOn w:val="Style21"/>
    <w:pPr>
      <w:tabs>
        <w:tab w:val="center" w:pos="4153" w:leader="none"/>
        <w:tab w:val="right" w:pos="8306" w:leader="none"/>
      </w:tabs>
      <w:suppressAutoHyphens w:val="true"/>
      <w:snapToGrid w:val="false"/>
    </w:pPr>
    <w:rPr>
      <w:sz w:val="20"/>
      <w:szCs w:val="20"/>
    </w:rPr>
  </w:style>
  <w:style w:type="paragraph" w:styleId="Style25">
    <w:name w:val="Footer"/>
    <w:basedOn w:val="Style21"/>
    <w:pPr>
      <w:tabs>
        <w:tab w:val="center" w:pos="4153" w:leader="none"/>
        <w:tab w:val="right" w:pos="8306" w:leader="none"/>
      </w:tabs>
      <w:suppressAutoHyphens w:val="true"/>
      <w:snapToGrid w:val="false"/>
    </w:pPr>
    <w:rPr>
      <w:sz w:val="20"/>
      <w:szCs w:val="20"/>
    </w:rPr>
  </w:style>
  <w:style w:type="paragraph" w:styleId="Web">
    <w:name w:val="內文 (Web)"/>
    <w:basedOn w:val="Style21"/>
    <w:qFormat/>
    <w:pPr>
      <w:widowControl/>
      <w:suppressAutoHyphens w:val="true"/>
      <w:spacing w:before="100" w:after="100"/>
    </w:pPr>
    <w:rPr>
      <w:rFonts w:ascii="新細明體" w:hAnsi="新細明體" w:cs="新細明體"/>
    </w:rPr>
  </w:style>
  <w:style w:type="paragraph" w:styleId="Style26">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LibreOffice/5.3.3.2$Windows_x86 LibreOffice_project/3d9a8b4b4e538a85e0782bd6c2d430bafe583448</Application>
  <Pages>2</Pages>
  <Words>222</Words>
  <Characters>1266</Characters>
  <CharactersWithSpaces>1486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2019-10-17T08:26:00Z</dcterms:created>
  <dc:creator>吳佳芬</dc:creator>
  <dc:description/>
  <dc:language>zh-TW</dc:language>
  <cp:lastModifiedBy>TIEC215</cp:lastModifiedBy>
  <cp:lastPrinted>2019-10-16T08:18:00Z</cp:lastPrinted>
  <dcterms:modified xsi:type="dcterms:W3CDTF">2019-10-19T06:07:00Z</dcterms:modified>
  <cp:revision>5</cp:revision>
  <dc:subject/>
  <dc:title/>
</cp:coreProperties>
</file>