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DD" w:rsidRPr="00E84251" w:rsidRDefault="00F856DD" w:rsidP="00F856DD">
      <w:pPr>
        <w:pStyle w:val="a3"/>
        <w:tabs>
          <w:tab w:val="left" w:pos="720"/>
        </w:tabs>
        <w:jc w:val="center"/>
        <w:rPr>
          <w:rFonts w:eastAsia="標楷體"/>
          <w:szCs w:val="26"/>
        </w:rPr>
      </w:pPr>
      <w:r w:rsidRPr="00E84251">
        <w:rPr>
          <w:rFonts w:eastAsia="標楷體" w:hAnsi="標楷體"/>
          <w:szCs w:val="26"/>
        </w:rPr>
        <w:t>臺北市立大學</w:t>
      </w:r>
      <w:r w:rsidRPr="00E84251">
        <w:rPr>
          <w:rFonts w:eastAsia="標楷體"/>
          <w:szCs w:val="26"/>
        </w:rPr>
        <w:t>1</w:t>
      </w:r>
      <w:r w:rsidRPr="00E84251">
        <w:rPr>
          <w:rFonts w:eastAsia="標楷體" w:hint="eastAsia"/>
          <w:szCs w:val="26"/>
        </w:rPr>
        <w:t>0</w:t>
      </w:r>
      <w:r w:rsidRPr="00E84251">
        <w:rPr>
          <w:rFonts w:eastAsia="標楷體"/>
          <w:szCs w:val="26"/>
        </w:rPr>
        <w:t>8</w:t>
      </w:r>
      <w:r w:rsidRPr="00E84251">
        <w:rPr>
          <w:rFonts w:eastAsia="標楷體" w:hAnsi="標楷體"/>
          <w:szCs w:val="26"/>
        </w:rPr>
        <w:t>學年度第</w:t>
      </w:r>
      <w:r w:rsidRPr="00E84251">
        <w:rPr>
          <w:rFonts w:eastAsia="標楷體"/>
          <w:szCs w:val="26"/>
        </w:rPr>
        <w:t>1</w:t>
      </w:r>
      <w:r w:rsidRPr="00E84251">
        <w:rPr>
          <w:rFonts w:eastAsia="標楷體" w:hAnsi="標楷體"/>
          <w:szCs w:val="26"/>
        </w:rPr>
        <w:t>學期國民小學暨幼兒園教師</w:t>
      </w:r>
    </w:p>
    <w:p w:rsidR="00F856DD" w:rsidRPr="00B51C71" w:rsidRDefault="00F856DD" w:rsidP="00F856DD">
      <w:pPr>
        <w:pStyle w:val="a3"/>
        <w:jc w:val="center"/>
        <w:rPr>
          <w:rFonts w:eastAsia="標楷體"/>
          <w:sz w:val="26"/>
          <w:szCs w:val="26"/>
        </w:rPr>
      </w:pPr>
      <w:r w:rsidRPr="00E84251">
        <w:rPr>
          <w:rFonts w:eastAsia="標楷體" w:hAnsi="標楷體"/>
          <w:szCs w:val="26"/>
        </w:rPr>
        <w:t>進修特殊教育專業知能學分</w:t>
      </w:r>
      <w:r w:rsidRPr="00E84251">
        <w:rPr>
          <w:rFonts w:eastAsia="標楷體" w:hint="eastAsia"/>
          <w:szCs w:val="26"/>
        </w:rPr>
        <w:t>授課大綱</w:t>
      </w:r>
    </w:p>
    <w:p w:rsidR="00F856DD" w:rsidRPr="00B51C71" w:rsidRDefault="00F856DD" w:rsidP="00F856DD">
      <w:pPr>
        <w:spacing w:line="400" w:lineRule="exact"/>
        <w:jc w:val="both"/>
        <w:rPr>
          <w:rFonts w:eastAsia="標楷體"/>
          <w:bCs/>
          <w:sz w:val="26"/>
          <w:szCs w:val="26"/>
        </w:rPr>
      </w:pPr>
    </w:p>
    <w:p w:rsidR="00F856DD" w:rsidRPr="00B51C71" w:rsidRDefault="00F856DD" w:rsidP="00F856DD">
      <w:pPr>
        <w:spacing w:line="400" w:lineRule="exact"/>
        <w:jc w:val="both"/>
        <w:rPr>
          <w:rFonts w:eastAsia="標楷體"/>
          <w:bCs/>
          <w:sz w:val="26"/>
          <w:szCs w:val="26"/>
        </w:rPr>
      </w:pPr>
      <w:r w:rsidRPr="00B51C71">
        <w:rPr>
          <w:rFonts w:eastAsia="標楷體" w:hint="eastAsia"/>
          <w:bCs/>
          <w:sz w:val="26"/>
          <w:szCs w:val="26"/>
        </w:rPr>
        <w:t>課程名稱：</w:t>
      </w:r>
      <w:r w:rsidR="00B51C71" w:rsidRPr="00B51C71">
        <w:rPr>
          <w:rFonts w:eastAsia="標楷體" w:hint="eastAsia"/>
          <w:bCs/>
          <w:sz w:val="26"/>
          <w:szCs w:val="26"/>
        </w:rPr>
        <w:t>音樂治療與特殊需求兒</w:t>
      </w:r>
      <w:r w:rsidRPr="00B51C71">
        <w:rPr>
          <w:rFonts w:eastAsia="標楷體" w:hint="eastAsia"/>
          <w:bCs/>
          <w:sz w:val="26"/>
          <w:szCs w:val="26"/>
        </w:rPr>
        <w:t>童</w:t>
      </w:r>
      <w:r w:rsidRPr="00B51C71">
        <w:rPr>
          <w:rFonts w:eastAsia="標楷體" w:hint="eastAsia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6DD" w:rsidRPr="00B51C71" w:rsidRDefault="00F856DD" w:rsidP="00E3395D">
      <w:pPr>
        <w:spacing w:beforeLines="50" w:before="180" w:line="400" w:lineRule="exact"/>
        <w:ind w:left="1794" w:rightChars="-80" w:right="-192" w:hangingChars="690" w:hanging="1794"/>
        <w:jc w:val="both"/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一、課程簡介：</w:t>
      </w:r>
      <w:bookmarkStart w:id="0" w:name="_GoBack"/>
      <w:r w:rsidRPr="00B51C71">
        <w:rPr>
          <w:rFonts w:eastAsia="標楷體" w:hint="eastAsia"/>
          <w:sz w:val="26"/>
          <w:szCs w:val="26"/>
        </w:rPr>
        <w:t>音樂除了演奏與聆聽之外，也可以當作學習的媒介。本課程將會分享如何運用音樂在各個不同年齡層或不同能力的</w:t>
      </w:r>
      <w:r w:rsidR="00E3395D">
        <w:rPr>
          <w:rFonts w:eastAsia="標楷體" w:hint="eastAsia"/>
          <w:sz w:val="26"/>
          <w:szCs w:val="26"/>
        </w:rPr>
        <w:t>兒</w:t>
      </w:r>
      <w:r w:rsidRPr="00B51C71">
        <w:rPr>
          <w:rFonts w:eastAsia="標楷體" w:hint="eastAsia"/>
          <w:sz w:val="26"/>
          <w:szCs w:val="26"/>
        </w:rPr>
        <w:t>童上，達到生活學習的目標。同時也希望能夠藉由音樂，協助</w:t>
      </w:r>
      <w:r w:rsidR="00B51C71" w:rsidRPr="00B51C71">
        <w:rPr>
          <w:rFonts w:eastAsia="標楷體" w:hint="eastAsia"/>
          <w:bCs/>
          <w:sz w:val="26"/>
          <w:szCs w:val="26"/>
        </w:rPr>
        <w:t>特殊需求兒童</w:t>
      </w:r>
      <w:r w:rsidRPr="00B51C71">
        <w:rPr>
          <w:rFonts w:eastAsia="標楷體" w:hint="eastAsia"/>
          <w:sz w:val="26"/>
          <w:szCs w:val="26"/>
        </w:rPr>
        <w:t>在多重感官的經驗中提升學習動機。</w:t>
      </w:r>
    </w:p>
    <w:bookmarkEnd w:id="0"/>
    <w:p w:rsidR="00F856DD" w:rsidRPr="00B51C71" w:rsidRDefault="00F856DD" w:rsidP="00E3395D">
      <w:pPr>
        <w:tabs>
          <w:tab w:val="left" w:pos="1980"/>
        </w:tabs>
        <w:snapToGrid w:val="0"/>
        <w:spacing w:beforeLines="50" w:before="180" w:line="400" w:lineRule="exact"/>
        <w:ind w:left="1820" w:rightChars="-80" w:right="-192" w:hangingChars="700" w:hanging="1820"/>
        <w:rPr>
          <w:rFonts w:ascii="標楷體" w:eastAsia="標楷體" w:hAnsi="標楷體"/>
          <w:sz w:val="26"/>
          <w:szCs w:val="26"/>
        </w:rPr>
      </w:pPr>
      <w:r w:rsidRPr="00B51C71">
        <w:rPr>
          <w:rFonts w:ascii="標楷體" w:eastAsia="標楷體" w:hAnsi="標楷體" w:hint="eastAsia"/>
          <w:sz w:val="26"/>
          <w:szCs w:val="26"/>
        </w:rPr>
        <w:t>二、課程目標：能夠具備音樂治療基本認識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eastAsia="標楷體" w:hint="eastAsia"/>
          <w:sz w:val="26"/>
          <w:szCs w:val="26"/>
        </w:rPr>
        <w:t>能夠設計音樂活動提升特殊需求</w:t>
      </w:r>
      <w:r w:rsidR="00B51C71" w:rsidRPr="00B51C71">
        <w:rPr>
          <w:rFonts w:eastAsia="標楷體" w:hint="eastAsia"/>
          <w:bCs/>
          <w:sz w:val="26"/>
          <w:szCs w:val="26"/>
        </w:rPr>
        <w:t>兒</w:t>
      </w:r>
      <w:r w:rsidRPr="00B51C71">
        <w:rPr>
          <w:rFonts w:eastAsia="標楷體" w:hint="eastAsia"/>
          <w:sz w:val="26"/>
          <w:szCs w:val="26"/>
        </w:rPr>
        <w:t>童學習動機</w:t>
      </w:r>
      <w:r w:rsidR="00631F9D" w:rsidRPr="00B51C71">
        <w:rPr>
          <w:rFonts w:eastAsia="標楷體" w:hint="eastAsia"/>
          <w:sz w:val="26"/>
          <w:szCs w:val="26"/>
        </w:rPr>
        <w:t>。</w:t>
      </w:r>
    </w:p>
    <w:p w:rsidR="00F856DD" w:rsidRPr="00B51C71" w:rsidRDefault="00F856DD" w:rsidP="00F856DD">
      <w:pPr>
        <w:tabs>
          <w:tab w:val="left" w:pos="1980"/>
        </w:tabs>
        <w:snapToGrid w:val="0"/>
        <w:spacing w:line="400" w:lineRule="exact"/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三、任課教師：彭鈺翔</w:t>
      </w:r>
    </w:p>
    <w:p w:rsidR="00F856DD" w:rsidRPr="00B51C71" w:rsidRDefault="00F856DD" w:rsidP="00F856DD">
      <w:pPr>
        <w:spacing w:line="400" w:lineRule="exact"/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四、時數：</w:t>
      </w:r>
      <w:r w:rsidRPr="00B51C71">
        <w:rPr>
          <w:rFonts w:eastAsia="標楷體" w:hint="eastAsia"/>
          <w:sz w:val="26"/>
          <w:szCs w:val="26"/>
        </w:rPr>
        <w:t>2</w:t>
      </w:r>
      <w:r w:rsidRPr="00B51C71">
        <w:rPr>
          <w:rFonts w:eastAsia="標楷體" w:hint="eastAsia"/>
          <w:sz w:val="26"/>
          <w:szCs w:val="26"/>
        </w:rPr>
        <w:t>學分</w:t>
      </w:r>
      <w:r w:rsidRPr="00B51C71">
        <w:rPr>
          <w:rFonts w:eastAsia="標楷體" w:hint="eastAsia"/>
          <w:sz w:val="26"/>
          <w:szCs w:val="26"/>
        </w:rPr>
        <w:t>36</w:t>
      </w:r>
      <w:r w:rsidRPr="00B51C71">
        <w:rPr>
          <w:rFonts w:eastAsia="標楷體" w:hint="eastAsia"/>
          <w:sz w:val="26"/>
          <w:szCs w:val="26"/>
        </w:rPr>
        <w:t>小時</w:t>
      </w:r>
    </w:p>
    <w:p w:rsidR="00F856DD" w:rsidRPr="00B51C71" w:rsidRDefault="00F856DD" w:rsidP="00F856DD">
      <w:pPr>
        <w:spacing w:afterLines="50" w:after="180" w:line="400" w:lineRule="exact"/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五、課程進度及主題</w:t>
      </w:r>
    </w:p>
    <w:tbl>
      <w:tblPr>
        <w:tblW w:w="9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6060"/>
        <w:gridCol w:w="1260"/>
        <w:gridCol w:w="849"/>
      </w:tblGrid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週次</w:t>
            </w:r>
          </w:p>
        </w:tc>
        <w:tc>
          <w:tcPr>
            <w:tcW w:w="6060" w:type="dxa"/>
          </w:tcPr>
          <w:p w:rsidR="00F856DD" w:rsidRPr="00B51C71" w:rsidRDefault="00F856DD" w:rsidP="005A1E63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課程內容</w:t>
            </w:r>
          </w:p>
        </w:tc>
        <w:tc>
          <w:tcPr>
            <w:tcW w:w="1260" w:type="dxa"/>
          </w:tcPr>
          <w:p w:rsidR="00F856DD" w:rsidRPr="00B51C71" w:rsidRDefault="00F856DD" w:rsidP="005A1E63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授課教師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spacing w:beforeLines="50" w:before="180" w:afterLines="50" w:after="18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F856DD" w:rsidRPr="00B51C71" w:rsidTr="00B51C71">
        <w:trPr>
          <w:trHeight w:val="514"/>
        </w:trPr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一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音樂治療在世界各國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二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音樂治療簡介</w:t>
            </w:r>
          </w:p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音樂治療師取證管道</w:t>
            </w:r>
          </w:p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音樂治療服務在台灣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三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臨床實務準則</w:t>
            </w:r>
          </w:p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音樂治療取向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四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音樂活動與特殊需求孩童的社交互動(一)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五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音樂活動與特殊需求孩童的社交互動(二)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六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音樂活動與特殊需求孩童的溝通表達(一)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 w:cs="Arial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 w:cs="Arial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 w:cs="Arial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七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音樂活動與特殊需求孩童的溝通表達(二)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八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音樂活動主題教學</w:t>
            </w:r>
            <w:r w:rsidRPr="00B51C71" w:rsidDel="001F656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F856DD" w:rsidRPr="00B51C71" w:rsidTr="00B51C71">
        <w:tc>
          <w:tcPr>
            <w:tcW w:w="857" w:type="dxa"/>
            <w:vAlign w:val="center"/>
          </w:tcPr>
          <w:p w:rsidR="00F856DD" w:rsidRPr="00B51C71" w:rsidRDefault="00F856DD" w:rsidP="005A1E63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九</w:t>
            </w:r>
          </w:p>
        </w:tc>
        <w:tc>
          <w:tcPr>
            <w:tcW w:w="60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1C71">
              <w:rPr>
                <w:rFonts w:ascii="標楷體" w:eastAsia="標楷體" w:hAnsi="標楷體" w:hint="eastAsia"/>
                <w:sz w:val="26"/>
                <w:szCs w:val="26"/>
              </w:rPr>
              <w:t>個人實作(音樂活動設計)</w:t>
            </w:r>
          </w:p>
        </w:tc>
        <w:tc>
          <w:tcPr>
            <w:tcW w:w="1260" w:type="dxa"/>
            <w:vAlign w:val="center"/>
          </w:tcPr>
          <w:p w:rsidR="00F856DD" w:rsidRPr="00B51C71" w:rsidRDefault="00F856DD" w:rsidP="00631F9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1C71">
              <w:rPr>
                <w:rFonts w:eastAsia="標楷體" w:hint="eastAsia"/>
                <w:sz w:val="26"/>
                <w:szCs w:val="26"/>
              </w:rPr>
              <w:t>彭鈺翔</w:t>
            </w:r>
          </w:p>
        </w:tc>
        <w:tc>
          <w:tcPr>
            <w:tcW w:w="849" w:type="dxa"/>
          </w:tcPr>
          <w:p w:rsidR="00F856DD" w:rsidRPr="00B51C71" w:rsidRDefault="00F856DD" w:rsidP="005A1E63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F856DD" w:rsidRPr="00B51C71" w:rsidRDefault="00F856DD" w:rsidP="005A1E63">
            <w:pPr>
              <w:adjustRightInd w:val="0"/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F856DD" w:rsidRPr="00B51C71" w:rsidRDefault="00F856DD" w:rsidP="00F856DD">
      <w:pPr>
        <w:rPr>
          <w:rFonts w:eastAsia="標楷體"/>
          <w:sz w:val="26"/>
          <w:szCs w:val="26"/>
        </w:rPr>
      </w:pPr>
    </w:p>
    <w:p w:rsidR="00F856DD" w:rsidRPr="00B51C71" w:rsidRDefault="00F856DD" w:rsidP="00F856DD">
      <w:pPr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六、教學方式：</w:t>
      </w:r>
    </w:p>
    <w:p w:rsidR="00F856DD" w:rsidRPr="00B51C71" w:rsidRDefault="00F856DD" w:rsidP="00F856DD">
      <w:pPr>
        <w:rPr>
          <w:rFonts w:eastAsia="標楷體"/>
          <w:sz w:val="26"/>
          <w:szCs w:val="26"/>
        </w:rPr>
      </w:pPr>
      <w:r w:rsidRPr="00B51C71">
        <w:rPr>
          <w:rFonts w:eastAsia="標楷體"/>
          <w:sz w:val="26"/>
          <w:szCs w:val="26"/>
        </w:rPr>
        <w:tab/>
      </w:r>
      <w:r w:rsidRPr="00B51C71">
        <w:rPr>
          <w:rFonts w:eastAsia="標楷體" w:hint="eastAsia"/>
          <w:sz w:val="26"/>
          <w:szCs w:val="26"/>
        </w:rPr>
        <w:t>基本理論講授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eastAsia="標楷體" w:hint="eastAsia"/>
          <w:sz w:val="26"/>
          <w:szCs w:val="26"/>
        </w:rPr>
        <w:t>臨床經驗分享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eastAsia="標楷體" w:hint="eastAsia"/>
          <w:sz w:val="26"/>
          <w:szCs w:val="26"/>
        </w:rPr>
        <w:t>分組討論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eastAsia="標楷體" w:hint="eastAsia"/>
          <w:sz w:val="26"/>
          <w:szCs w:val="26"/>
        </w:rPr>
        <w:t>學員演練</w:t>
      </w:r>
    </w:p>
    <w:p w:rsidR="00F856DD" w:rsidRPr="00B51C71" w:rsidRDefault="00F856DD" w:rsidP="00F856DD">
      <w:pPr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t>七、評量內容：</w:t>
      </w:r>
    </w:p>
    <w:p w:rsidR="00F856DD" w:rsidRPr="00B51C71" w:rsidRDefault="00F856DD" w:rsidP="00F856DD">
      <w:pPr>
        <w:pStyle w:val="2"/>
        <w:ind w:left="482" w:firstLine="0"/>
        <w:rPr>
          <w:rFonts w:ascii="Times New Roman"/>
          <w:sz w:val="26"/>
          <w:szCs w:val="26"/>
        </w:rPr>
      </w:pPr>
      <w:r w:rsidRPr="00B51C71">
        <w:rPr>
          <w:rFonts w:ascii="Times New Roman" w:hint="eastAsia"/>
          <w:sz w:val="26"/>
          <w:szCs w:val="26"/>
        </w:rPr>
        <w:t>分組討論</w:t>
      </w:r>
      <w:r w:rsidRPr="00B51C71">
        <w:rPr>
          <w:rFonts w:ascii="新細明體" w:hAnsi="新細明體" w:hint="eastAsia"/>
          <w:sz w:val="26"/>
          <w:szCs w:val="26"/>
        </w:rPr>
        <w:t>；</w:t>
      </w:r>
      <w:r w:rsidRPr="00B51C71">
        <w:rPr>
          <w:rFonts w:ascii="Times New Roman" w:hint="eastAsia"/>
          <w:sz w:val="26"/>
          <w:szCs w:val="26"/>
        </w:rPr>
        <w:t>個人實作</w:t>
      </w:r>
    </w:p>
    <w:p w:rsidR="00F856DD" w:rsidRPr="00B51C71" w:rsidRDefault="00F856DD" w:rsidP="00F856DD">
      <w:pPr>
        <w:pStyle w:val="2"/>
        <w:ind w:left="482" w:firstLine="0"/>
        <w:rPr>
          <w:rFonts w:ascii="Times New Roman"/>
          <w:sz w:val="26"/>
          <w:szCs w:val="26"/>
        </w:rPr>
        <w:sectPr w:rsidR="00F856DD" w:rsidRPr="00B51C71">
          <w:pgSz w:w="11906" w:h="16838" w:code="9"/>
          <w:pgMar w:top="851" w:right="1797" w:bottom="851" w:left="1797" w:header="851" w:footer="992" w:gutter="0"/>
          <w:cols w:space="425"/>
          <w:docGrid w:type="lines" w:linePitch="360"/>
        </w:sectPr>
      </w:pPr>
    </w:p>
    <w:p w:rsidR="00F856DD" w:rsidRPr="00B51C71" w:rsidRDefault="00F856DD" w:rsidP="00F856DD">
      <w:pPr>
        <w:rPr>
          <w:rFonts w:eastAsia="標楷體"/>
          <w:sz w:val="26"/>
          <w:szCs w:val="26"/>
        </w:rPr>
      </w:pPr>
      <w:r w:rsidRPr="00B51C71">
        <w:rPr>
          <w:rFonts w:eastAsia="標楷體" w:hint="eastAsia"/>
          <w:sz w:val="26"/>
          <w:szCs w:val="26"/>
        </w:rPr>
        <w:lastRenderedPageBreak/>
        <w:t>八、</w:t>
      </w:r>
      <w:r w:rsidRPr="00B51C71">
        <w:rPr>
          <w:rFonts w:eastAsia="標楷體"/>
          <w:sz w:val="26"/>
          <w:szCs w:val="26"/>
        </w:rPr>
        <w:t>教材或參考書目</w:t>
      </w:r>
      <w:r w:rsidRPr="00B51C71">
        <w:rPr>
          <w:rFonts w:eastAsia="標楷體" w:hint="eastAsia"/>
          <w:sz w:val="26"/>
          <w:szCs w:val="26"/>
        </w:rPr>
        <w:t>：</w:t>
      </w:r>
    </w:p>
    <w:p w:rsidR="00F856DD" w:rsidRPr="00B51C71" w:rsidRDefault="00F856DD" w:rsidP="00F856DD">
      <w:pPr>
        <w:ind w:leftChars="236" w:left="1026" w:hangingChars="177" w:hanging="460"/>
        <w:rPr>
          <w:rFonts w:eastAsia="標楷體"/>
          <w:sz w:val="26"/>
          <w:szCs w:val="26"/>
        </w:rPr>
      </w:pPr>
      <w:r w:rsidRPr="00B51C71">
        <w:rPr>
          <w:rFonts w:eastAsia="標楷體"/>
          <w:sz w:val="26"/>
          <w:szCs w:val="26"/>
        </w:rPr>
        <w:lastRenderedPageBreak/>
        <w:t xml:space="preserve">Adamek, M.S., &amp; Darrow, A. A. (2005). </w:t>
      </w:r>
      <w:r w:rsidRPr="00B51C71">
        <w:rPr>
          <w:rFonts w:eastAsia="標楷體"/>
          <w:i/>
          <w:sz w:val="26"/>
          <w:szCs w:val="26"/>
        </w:rPr>
        <w:t>Music in special education</w:t>
      </w:r>
      <w:r w:rsidRPr="00B51C71">
        <w:rPr>
          <w:rFonts w:eastAsia="標楷體"/>
          <w:sz w:val="26"/>
          <w:szCs w:val="26"/>
        </w:rPr>
        <w:t>. Silver Spring, MD</w:t>
      </w:r>
      <w:r w:rsidRPr="00B51C71">
        <w:rPr>
          <w:rFonts w:ascii="Georgia" w:hAnsi="Georgia"/>
          <w:color w:val="333333"/>
          <w:sz w:val="26"/>
          <w:szCs w:val="26"/>
          <w:shd w:val="clear" w:color="auto" w:fill="FFFFFF"/>
        </w:rPr>
        <w:t>: The American Music Therapy Association, Inc.</w:t>
      </w:r>
    </w:p>
    <w:p w:rsidR="00F856DD" w:rsidRPr="00B51C71" w:rsidRDefault="00F856DD" w:rsidP="00F856DD">
      <w:pPr>
        <w:ind w:leftChars="236" w:left="1026" w:hangingChars="177" w:hanging="460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 w:rsidRPr="00B51C71">
        <w:rPr>
          <w:rFonts w:eastAsia="標楷體"/>
          <w:sz w:val="26"/>
          <w:szCs w:val="26"/>
        </w:rPr>
        <w:t xml:space="preserve">Robb, S. L. (Ed.). (2003). </w:t>
      </w:r>
      <w:r w:rsidRPr="00B51C71">
        <w:rPr>
          <w:rFonts w:eastAsia="標楷體"/>
          <w:i/>
          <w:sz w:val="26"/>
          <w:szCs w:val="26"/>
        </w:rPr>
        <w:t>Music therapy in pediatric healthcare</w:t>
      </w:r>
      <w:r w:rsidRPr="00B51C71">
        <w:rPr>
          <w:rFonts w:ascii="Georgia" w:hAnsi="Georgia"/>
          <w:color w:val="333333"/>
          <w:sz w:val="26"/>
          <w:szCs w:val="26"/>
          <w:shd w:val="clear" w:color="auto" w:fill="FFFFFF"/>
        </w:rPr>
        <w:t>:</w:t>
      </w:r>
      <w:r w:rsidRPr="00B51C71">
        <w:rPr>
          <w:rFonts w:eastAsia="標楷體"/>
          <w:i/>
          <w:sz w:val="26"/>
          <w:szCs w:val="26"/>
        </w:rPr>
        <w:t xml:space="preserve"> Research and evidence-based practice</w:t>
      </w:r>
      <w:r w:rsidRPr="00B51C71">
        <w:rPr>
          <w:rFonts w:eastAsia="標楷體"/>
          <w:sz w:val="26"/>
          <w:szCs w:val="26"/>
        </w:rPr>
        <w:t>. Silver Spring, MD</w:t>
      </w:r>
      <w:r w:rsidRPr="00B51C71">
        <w:rPr>
          <w:rFonts w:ascii="Georgia" w:hAnsi="Georgia"/>
          <w:color w:val="333333"/>
          <w:sz w:val="26"/>
          <w:szCs w:val="26"/>
          <w:shd w:val="clear" w:color="auto" w:fill="FFFFFF"/>
        </w:rPr>
        <w:t>: The American Music Therapy Association, Inc.</w:t>
      </w:r>
    </w:p>
    <w:p w:rsidR="00F856DD" w:rsidRPr="00B51C71" w:rsidRDefault="00F856DD" w:rsidP="00F856DD">
      <w:pPr>
        <w:widowControl/>
        <w:shd w:val="clear" w:color="auto" w:fill="FFFFFF"/>
        <w:outlineLvl w:val="0"/>
        <w:rPr>
          <w:rFonts w:eastAsia="標楷體"/>
          <w:sz w:val="26"/>
          <w:szCs w:val="26"/>
        </w:rPr>
      </w:pPr>
      <w:r w:rsidRPr="00B51C71">
        <w:rPr>
          <w:rFonts w:ascii="Georgia" w:hAnsi="Georgia"/>
          <w:color w:val="333333"/>
          <w:sz w:val="26"/>
          <w:szCs w:val="26"/>
          <w:shd w:val="clear" w:color="auto" w:fill="FFFFFF"/>
        </w:rPr>
        <w:tab/>
      </w:r>
    </w:p>
    <w:p w:rsidR="003A421C" w:rsidRPr="00B51C71" w:rsidRDefault="003A421C">
      <w:pPr>
        <w:rPr>
          <w:sz w:val="26"/>
          <w:szCs w:val="26"/>
        </w:rPr>
      </w:pPr>
    </w:p>
    <w:sectPr w:rsidR="003A421C" w:rsidRPr="00B51C71">
      <w:type w:val="continuous"/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3D" w:rsidRDefault="00E4273D" w:rsidP="00B51C71">
      <w:r>
        <w:separator/>
      </w:r>
    </w:p>
  </w:endnote>
  <w:endnote w:type="continuationSeparator" w:id="0">
    <w:p w:rsidR="00E4273D" w:rsidRDefault="00E4273D" w:rsidP="00B5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3D" w:rsidRDefault="00E4273D" w:rsidP="00B51C71">
      <w:r>
        <w:separator/>
      </w:r>
    </w:p>
  </w:footnote>
  <w:footnote w:type="continuationSeparator" w:id="0">
    <w:p w:rsidR="00E4273D" w:rsidRDefault="00E4273D" w:rsidP="00B5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DD"/>
    <w:rsid w:val="002C6003"/>
    <w:rsid w:val="003A421C"/>
    <w:rsid w:val="00631F9D"/>
    <w:rsid w:val="00B51C71"/>
    <w:rsid w:val="00E3395D"/>
    <w:rsid w:val="00E4273D"/>
    <w:rsid w:val="00E84251"/>
    <w:rsid w:val="00F856DD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E78D75-F528-4604-A07D-5F1BB106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D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文2"/>
    <w:basedOn w:val="a"/>
    <w:rsid w:val="00F856DD"/>
    <w:pPr>
      <w:ind w:firstLine="482"/>
    </w:pPr>
    <w:rPr>
      <w:rFonts w:ascii="標楷體" w:eastAsia="標楷體"/>
    </w:rPr>
  </w:style>
  <w:style w:type="paragraph" w:styleId="a3">
    <w:name w:val="Body Text"/>
    <w:basedOn w:val="a"/>
    <w:link w:val="a4"/>
    <w:rsid w:val="00F856DD"/>
    <w:pPr>
      <w:spacing w:line="0" w:lineRule="atLeast"/>
    </w:pPr>
    <w:rPr>
      <w:b/>
      <w:sz w:val="28"/>
    </w:rPr>
  </w:style>
  <w:style w:type="character" w:customStyle="1" w:styleId="a4">
    <w:name w:val="本文 字元"/>
    <w:basedOn w:val="a0"/>
    <w:link w:val="a3"/>
    <w:rsid w:val="00F856DD"/>
    <w:rPr>
      <w:rFonts w:ascii="Times New Roman" w:eastAsia="新細明體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51C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51C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C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51C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郭欣佩-spec</cp:lastModifiedBy>
  <cp:revision>6</cp:revision>
  <dcterms:created xsi:type="dcterms:W3CDTF">2019-07-09T06:54:00Z</dcterms:created>
  <dcterms:modified xsi:type="dcterms:W3CDTF">2019-08-30T01:10:00Z</dcterms:modified>
</cp:coreProperties>
</file>